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comment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288"/>
        <w:jc w:val="center"/>
        <w:rPr/>
      </w:pPr>
      <w:r>
        <w:rPr>
          <w:rFonts w:cs="Arial" w:ascii="Calibri" w:hAnsi="Calibri"/>
          <w:b/>
          <w:bCs/>
          <w:color w:val="000000" w:themeColor="text1"/>
          <w:sz w:val="20"/>
          <w:szCs w:val="20"/>
          <w:shd w:fill="auto" w:val="clear"/>
        </w:rPr>
        <w:t>MODELO DE TERMO DE CONTRATO</w:t>
        <w:br/>
        <w:t>Lei nº 14.133, de 1º de abril de 2021</w:t>
        <w:br/>
        <w:t>Serviços sem dedicação exclusiva de mão de obra - Contratação direta</w:t>
      </w:r>
    </w:p>
    <w:p>
      <w:pPr>
        <w:pStyle w:val="Normal"/>
        <w:spacing w:lineRule="auto" w:line="276" w:before="120" w:after="288"/>
        <w:ind w:firstLine="709"/>
        <w:jc w:val="center"/>
        <w:rPr>
          <w:rFonts w:ascii="Calibri" w:hAnsi="Calibri" w:cs="Arial"/>
          <w:b/>
          <w:b/>
          <w:bCs/>
          <w:color w:val="000000" w:themeColor="text1"/>
          <w:sz w:val="20"/>
          <w:szCs w:val="20"/>
        </w:rPr>
      </w:pPr>
      <w:r>
        <w:rPr>
          <w:rFonts w:cs="Arial" w:ascii="Calibri" w:hAnsi="Calibri"/>
          <w:b/>
          <w:bCs/>
          <w:color w:val="000000" w:themeColor="text1"/>
          <w:sz w:val="20"/>
          <w:szCs w:val="20"/>
          <w:shd w:fill="auto" w:val="clear"/>
        </w:rPr>
        <w:drawing>
          <wp:anchor behindDoc="0" distT="0" distB="0" distL="114300" distR="114300" simplePos="0" locked="0" layoutInCell="1" allowOverlap="1" relativeHeight="2">
            <wp:simplePos x="0" y="0"/>
            <wp:positionH relativeFrom="column">
              <wp:posOffset>2816860</wp:posOffset>
            </wp:positionH>
            <wp:positionV relativeFrom="paragraph">
              <wp:posOffset>-132080</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Calibri" w:hAnsi="Calibri" w:cs="Arial"/>
          <w:b/>
          <w:b/>
          <w:i/>
          <w:i/>
          <w:color w:val="FF0000"/>
          <w:sz w:val="20"/>
          <w:szCs w:val="20"/>
        </w:rPr>
      </w:pPr>
      <w:r>
        <w:rPr>
          <w:rFonts w:cs="Arial" w:ascii="Calibri" w:hAnsi="Calibri"/>
          <w:b/>
          <w:i/>
          <w:color w:val="FF0000"/>
          <w:sz w:val="20"/>
          <w:szCs w:val="20"/>
          <w:shd w:fill="auto" w:val="clear"/>
        </w:rPr>
      </w:r>
    </w:p>
    <w:p>
      <w:pPr>
        <w:pStyle w:val="Normal"/>
        <w:spacing w:lineRule="auto" w:line="240" w:before="120" w:after="288"/>
        <w:ind w:firstLine="709"/>
        <w:jc w:val="center"/>
        <w:rPr/>
      </w:pPr>
      <w:r>
        <w:rPr>
          <w:rFonts w:cs="Arial" w:ascii="Calibri" w:hAnsi="Calibri"/>
          <w:b/>
          <w:i w:val="false"/>
          <w:iCs w:val="false"/>
          <w:color w:val="000000"/>
          <w:sz w:val="20"/>
          <w:szCs w:val="20"/>
          <w:shd w:fill="auto" w:val="clear"/>
          <w:lang w:eastAsia="pt-BR"/>
        </w:rPr>
        <w:t>BASE DE FUZILEIROS NAVAIS DA ILHA DO GOVERNADOR</w:t>
      </w:r>
    </w:p>
    <w:p>
      <w:pPr>
        <w:pStyle w:val="Normal"/>
        <w:spacing w:lineRule="auto" w:line="240" w:before="120" w:after="288"/>
        <w:ind w:firstLine="709"/>
        <w:jc w:val="center"/>
        <w:rPr/>
      </w:pPr>
      <w:r>
        <w:rPr>
          <w:rFonts w:cs="Arial" w:ascii="Calibri" w:hAnsi="Calibri"/>
          <w:color w:val="000000"/>
          <w:sz w:val="20"/>
          <w:szCs w:val="20"/>
          <w:shd w:fill="auto" w:val="clear"/>
        </w:rPr>
        <w:t>(Processo Administrativo n</w:t>
      </w:r>
      <w:r>
        <w:rPr>
          <w:rFonts w:cs="Arial" w:ascii="Calibri" w:hAnsi="Calibri"/>
          <w:bCs/>
          <w:color w:val="000000"/>
          <w:sz w:val="20"/>
          <w:szCs w:val="20"/>
          <w:shd w:fill="auto" w:val="clear"/>
        </w:rPr>
        <w:t>°</w:t>
      </w:r>
      <w:r>
        <w:rPr>
          <w:rStyle w:val="Nfaseforte"/>
          <w:rFonts w:cs="Arial" w:ascii="Liberation Sans" w:hAnsi="Liberation Sans"/>
          <w:b w:val="false"/>
          <w:bCs w:val="false"/>
          <w:i w:val="false"/>
          <w:iCs w:val="false"/>
          <w:strike w:val="false"/>
          <w:dstrike w:val="false"/>
          <w:outline w:val="false"/>
          <w:shadow w:val="false"/>
          <w:color w:val="000000"/>
          <w:sz w:val="20"/>
          <w:szCs w:val="20"/>
          <w:u w:val="none"/>
          <w:shd w:fill="auto" w:val="clear"/>
          <w:em w:val="none"/>
        </w:rPr>
        <w:t xml:space="preserve"> </w:t>
      </w:r>
      <w:r>
        <w:rPr>
          <w:rStyle w:val="Nfaseforte"/>
          <w:rFonts w:cs="Arial" w:ascii="Carlito" w:hAnsi="Carlito"/>
          <w:b w:val="false"/>
          <w:bCs w:val="false"/>
          <w:i w:val="false"/>
          <w:iCs w:val="false"/>
          <w:strike w:val="false"/>
          <w:dstrike w:val="false"/>
          <w:outline w:val="false"/>
          <w:shadow w:val="false"/>
          <w:color w:val="000000"/>
          <w:sz w:val="20"/>
          <w:szCs w:val="20"/>
          <w:u w:val="none"/>
          <w:shd w:fill="auto" w:val="clear"/>
          <w:em w:val="none"/>
        </w:rPr>
        <w:t>63386.003346/2024-88</w:t>
      </w:r>
      <w:r>
        <w:rPr>
          <w:rFonts w:cs="Arial" w:ascii="Calibri" w:hAnsi="Calibri"/>
          <w:bCs/>
          <w:color w:val="000000"/>
          <w:sz w:val="20"/>
          <w:szCs w:val="20"/>
          <w:shd w:fill="auto" w:val="clear"/>
        </w:rPr>
        <w:t>)</w:t>
      </w:r>
    </w:p>
    <w:p>
      <w:pPr>
        <w:pStyle w:val="Prembulo"/>
        <w:spacing w:lineRule="auto" w:line="312" w:before="480" w:after="288"/>
        <w:ind w:left="4253" w:right="-170" w:hanging="0"/>
        <w:rPr/>
      </w:pPr>
      <w:r>
        <w:rPr>
          <w:rFonts w:ascii="Calibri" w:hAnsi="Calibri"/>
          <w:bCs w:val="false"/>
          <w:shd w:fill="auto" w:val="clear"/>
        </w:rPr>
        <w:t xml:space="preserve">CONTRATO ADMINISTRATIVO Nº </w:t>
      </w:r>
      <w:r>
        <w:rPr>
          <w:rFonts w:eastAsia="Arial" w:cs="Arial" w:ascii="Calibri" w:hAnsi="Calibri"/>
          <w:bCs w:val="false"/>
          <w:color w:val="000000"/>
          <w:kern w:val="0"/>
          <w:sz w:val="20"/>
          <w:szCs w:val="20"/>
          <w:shd w:fill="auto" w:val="clear"/>
          <w:lang w:val="pt-BR" w:eastAsia="pt-BR" w:bidi="ar-SA"/>
        </w:rPr>
        <w:t>90097</w:t>
      </w:r>
      <w:r>
        <w:rPr>
          <w:rFonts w:ascii="Calibri" w:hAnsi="Calibri"/>
          <w:bCs w:val="false"/>
          <w:shd w:fill="auto" w:val="clear"/>
        </w:rPr>
        <w:t>/</w:t>
      </w:r>
      <w:r>
        <w:rPr>
          <w:rFonts w:eastAsia="Arial" w:cs="Arial" w:ascii="Calibri" w:hAnsi="Calibri"/>
          <w:bCs w:val="false"/>
          <w:color w:val="000000"/>
          <w:kern w:val="0"/>
          <w:sz w:val="20"/>
          <w:szCs w:val="20"/>
          <w:shd w:fill="auto" w:val="clear"/>
          <w:lang w:val="pt-BR" w:eastAsia="pt-BR" w:bidi="ar-SA"/>
        </w:rPr>
        <w:t>2024</w:t>
      </w:r>
      <w:r>
        <w:rPr>
          <w:rFonts w:ascii="Calibri" w:hAnsi="Calibri"/>
          <w:bCs w:val="false"/>
          <w:shd w:fill="auto" w:val="clear"/>
        </w:rPr>
        <w:t xml:space="preserve">, QUE FAZEM ENTRE SI A UNIÃO, POR INTERMÉDIO DO (A) </w:t>
      </w:r>
      <w:r>
        <w:rPr>
          <w:rFonts w:eastAsia="Arial" w:cs="Arial" w:ascii="Calibri" w:hAnsi="Calibri"/>
          <w:bCs w:val="false"/>
          <w:color w:val="000000"/>
          <w:kern w:val="0"/>
          <w:sz w:val="20"/>
          <w:szCs w:val="20"/>
          <w:shd w:fill="auto" w:val="clear"/>
          <w:lang w:val="pt-BR" w:eastAsia="pt-BR" w:bidi="ar-SA"/>
        </w:rPr>
        <w:t>BASE DE FUZILEIROS NAVAIS DA ILHA DO GOVERNADOR</w:t>
      </w:r>
      <w:r>
        <w:rPr>
          <w:rFonts w:ascii="Calibri" w:hAnsi="Calibri"/>
          <w:bCs w:val="false"/>
          <w:shd w:fill="auto" w:val="clear"/>
        </w:rPr>
        <w:t xml:space="preserve"> E ............................................................. </w:t>
      </w:r>
    </w:p>
    <w:p>
      <w:pPr>
        <w:pStyle w:val="Normal"/>
        <w:spacing w:lineRule="auto" w:line="360" w:before="120" w:after="288"/>
        <w:ind w:firstLine="567"/>
        <w:jc w:val="both"/>
        <w:rPr/>
      </w:pPr>
      <w:r>
        <w:rPr>
          <w:rFonts w:eastAsia="ＭＳ 明朝" w:cs="Arial" w:ascii="Calibri" w:hAnsi="Calibri"/>
          <w:i w:val="false"/>
          <w:iCs w:val="false"/>
          <w:color w:val="000000"/>
          <w:kern w:val="0"/>
          <w:sz w:val="22"/>
          <w:szCs w:val="22"/>
          <w:shd w:fill="auto" w:val="clear"/>
          <w:lang w:val="pt-BR" w:eastAsia="pt-BR" w:bidi="ar-SA"/>
        </w:rPr>
        <w:t xml:space="preserve">A União, por intermédio da Base de Fuzileiros Navais da Ilha do Governador, com sede na Estrada do Quilombo, S/N, Bananal, Ilha do Governador, RJ, inscrita no CNPJ sob o nº 00.394.502/0386-21, neste ato representada pelo Capitão de Mar e Guerra (FN) ROBSON TURQUIELLO MACHADO DA SILVA, nomeado pela Portaria nº 230/MB/MD, de 16 de setembro de 2022, publicada no DOU de 20 de setembro de 2022, alterada pela Portaria n° 250/MD/MB de 07 de outubro de 2022, publicada no DOU de 11 de outubro de 2022 inscrito no CPF nº </w:t>
      </w:r>
      <w:r>
        <w:rPr>
          <w:rFonts w:eastAsia="ＭＳ 明朝" w:cs="Arial" w:ascii="Calibri" w:hAnsi="Calibri"/>
          <w:i w:val="false"/>
          <w:iCs w:val="false"/>
          <w:color w:val="000000"/>
          <w:kern w:val="0"/>
          <w:sz w:val="22"/>
          <w:szCs w:val="22"/>
          <w:shd w:fill="auto" w:val="clear"/>
          <w:lang w:val="pt-BR" w:eastAsia="pt-BR" w:bidi="ar-SA"/>
        </w:rPr>
        <w:t>776.226.771-91</w:t>
      </w:r>
      <w:r>
        <w:rPr>
          <w:rFonts w:eastAsia="ＭＳ 明朝" w:cs="Arial" w:ascii="Calibri" w:hAnsi="Calibri"/>
          <w:i w:val="false"/>
          <w:iCs w:val="false"/>
          <w:color w:val="000000"/>
          <w:kern w:val="0"/>
          <w:sz w:val="22"/>
          <w:szCs w:val="22"/>
          <w:shd w:fill="auto" w:val="clear"/>
          <w:lang w:val="pt-BR" w:eastAsia="pt-BR" w:bidi="ar-SA"/>
        </w:rPr>
        <w:t xml:space="preserve"> e identidade nº </w:t>
      </w:r>
      <w:r>
        <w:rPr>
          <w:rFonts w:eastAsia="ＭＳ 明朝" w:cs="Arial" w:ascii="Calibri" w:hAnsi="Calibri"/>
          <w:i w:val="false"/>
          <w:iCs w:val="false"/>
          <w:color w:val="000000"/>
          <w:kern w:val="0"/>
          <w:sz w:val="22"/>
          <w:szCs w:val="22"/>
          <w:shd w:fill="auto" w:val="clear"/>
          <w:lang w:val="pt-BR" w:eastAsia="pt-BR" w:bidi="ar-SA"/>
        </w:rPr>
        <w:t>590089-1</w:t>
      </w:r>
      <w:r>
        <w:rPr>
          <w:rFonts w:eastAsia="ＭＳ 明朝" w:cs="Arial" w:ascii="Calibri" w:hAnsi="Calibri"/>
          <w:i w:val="false"/>
          <w:iCs w:val="false"/>
          <w:color w:val="000000"/>
          <w:kern w:val="0"/>
          <w:sz w:val="22"/>
          <w:szCs w:val="22"/>
          <w:shd w:fill="auto" w:val="clear"/>
          <w:lang w:val="pt-BR" w:eastAsia="pt-BR" w:bidi="ar-SA"/>
        </w:rPr>
        <w:t>, doravante denominada CONTRATANTE, e o(a)</w:t>
      </w:r>
      <w:r>
        <w:rPr>
          <w:rFonts w:eastAsia="ＭＳ 明朝" w:cs="Arial" w:ascii="Calibri" w:hAnsi="Calibri"/>
          <w:color w:val="000000"/>
          <w:kern w:val="0"/>
          <w:sz w:val="22"/>
          <w:szCs w:val="22"/>
          <w:shd w:fill="auto" w:val="clear"/>
          <w:lang w:val="pt-BR" w:eastAsia="pt-BR" w:bidi="ar-SA"/>
        </w:rPr>
        <w:t xml:space="preserve"> .............................., </w:t>
      </w:r>
      <w:r>
        <w:rPr>
          <w:rFonts w:eastAsia="ＭＳ 明朝" w:cs="Arial" w:ascii="Calibri" w:hAnsi="Calibri"/>
          <w:i/>
          <w:iCs/>
          <w:color w:val="000000"/>
          <w:kern w:val="0"/>
          <w:sz w:val="22"/>
          <w:szCs w:val="22"/>
          <w:shd w:fill="auto" w:val="clear"/>
          <w:lang w:val="pt-BR" w:eastAsia="pt-BR" w:bidi="ar-SA"/>
        </w:rPr>
        <w:t>inscrito(a) no CNPJ/MF sob o nº ............................, sediado(a) na</w:t>
      </w:r>
      <w:r>
        <w:rPr>
          <w:rFonts w:eastAsia="ＭＳ 明朝" w:cs="Arial" w:ascii="Calibri" w:hAnsi="Calibri"/>
          <w:color w:val="000000"/>
          <w:kern w:val="0"/>
          <w:sz w:val="22"/>
          <w:szCs w:val="22"/>
          <w:shd w:fill="auto" w:val="clear"/>
          <w:lang w:val="pt-BR" w:eastAsia="pt-BR" w:bidi="ar-SA"/>
        </w:rPr>
        <w:t xml:space="preserve"> ..................................., </w:t>
      </w:r>
      <w:r>
        <w:rPr>
          <w:rFonts w:eastAsia="ＭＳ 明朝" w:cs="Arial" w:ascii="Calibri" w:hAnsi="Calibri"/>
          <w:i/>
          <w:iCs/>
          <w:color w:val="000000"/>
          <w:kern w:val="0"/>
          <w:sz w:val="22"/>
          <w:szCs w:val="22"/>
          <w:shd w:fill="auto" w:val="clear"/>
          <w:lang w:val="pt-BR" w:eastAsia="pt-BR" w:bidi="ar-SA"/>
        </w:rPr>
        <w:t>em</w:t>
      </w:r>
      <w:r>
        <w:rPr>
          <w:rFonts w:eastAsia="ＭＳ 明朝" w:cs="Arial" w:ascii="Calibri" w:hAnsi="Calibri"/>
          <w:color w:val="000000"/>
          <w:kern w:val="0"/>
          <w:sz w:val="22"/>
          <w:szCs w:val="22"/>
          <w:shd w:fill="auto" w:val="clear"/>
          <w:lang w:val="pt-BR" w:eastAsia="pt-BR" w:bidi="ar-SA"/>
        </w:rPr>
        <w:t xml:space="preserve"> ............................. doravante designado CONTRATADO, </w:t>
      </w:r>
      <w:r>
        <w:rPr>
          <w:rFonts w:eastAsia="ＭＳ 明朝" w:cs="Arial" w:ascii="Calibri" w:hAnsi="Calibri"/>
          <w:i/>
          <w:iCs/>
          <w:color w:val="000000"/>
          <w:kern w:val="0"/>
          <w:sz w:val="22"/>
          <w:szCs w:val="22"/>
          <w:shd w:fill="auto" w:val="clear"/>
          <w:lang w:val="pt-BR" w:eastAsia="pt-BR" w:bidi="ar-SA"/>
        </w:rPr>
        <w:t>neste ato representado(a) por</w:t>
      </w:r>
      <w:r>
        <w:rPr>
          <w:rFonts w:eastAsia="ＭＳ 明朝" w:cs="Arial" w:ascii="Calibri" w:hAnsi="Calibri"/>
          <w:color w:val="000000"/>
          <w:kern w:val="0"/>
          <w:sz w:val="22"/>
          <w:szCs w:val="22"/>
          <w:shd w:fill="auto" w:val="clear"/>
          <w:lang w:val="pt-BR" w:eastAsia="pt-BR" w:bidi="ar-SA"/>
        </w:rPr>
        <w:t xml:space="preserve"> .................................. (nome e função no contratado), </w:t>
      </w:r>
      <w:r>
        <w:rPr>
          <w:rFonts w:eastAsia="ＭＳ 明朝" w:cs="Arial" w:ascii="Calibri" w:hAnsi="Calibri"/>
          <w:i/>
          <w:iCs/>
          <w:color w:val="000000"/>
          <w:kern w:val="0"/>
          <w:sz w:val="22"/>
          <w:szCs w:val="22"/>
          <w:shd w:fill="auto" w:val="clear"/>
          <w:lang w:val="pt-BR" w:eastAsia="pt-BR" w:bidi="ar-SA"/>
        </w:rPr>
        <w:t xml:space="preserve">conforme atos constitutivos da empresa </w:t>
      </w:r>
      <w:r>
        <w:rPr>
          <w:rFonts w:eastAsia="ＭＳ 明朝" w:cs="Arial" w:ascii="Calibri" w:hAnsi="Calibri"/>
          <w:b/>
          <w:bCs/>
          <w:i/>
          <w:iCs/>
          <w:color w:val="000000"/>
          <w:kern w:val="0"/>
          <w:sz w:val="22"/>
          <w:szCs w:val="22"/>
          <w:shd w:fill="auto" w:val="clear"/>
          <w:lang w:val="pt-BR" w:eastAsia="pt-BR" w:bidi="ar-SA"/>
        </w:rPr>
        <w:t>OU</w:t>
      </w:r>
      <w:r>
        <w:rPr>
          <w:rFonts w:eastAsia="ＭＳ 明朝" w:cs="Arial" w:ascii="Calibri" w:hAnsi="Calibri"/>
          <w:i/>
          <w:iCs/>
          <w:color w:val="000000"/>
          <w:kern w:val="0"/>
          <w:sz w:val="22"/>
          <w:szCs w:val="22"/>
          <w:shd w:fill="auto" w:val="clear"/>
          <w:lang w:val="pt-BR" w:eastAsia="pt-BR" w:bidi="ar-SA"/>
        </w:rPr>
        <w:t xml:space="preserve"> procuração apresentada nos autos, </w:t>
      </w:r>
      <w:r>
        <w:rPr>
          <w:rFonts w:eastAsia="ＭＳ 明朝" w:cs="Arial" w:ascii="Calibri" w:hAnsi="Calibri"/>
          <w:color w:val="000000"/>
          <w:kern w:val="0"/>
          <w:sz w:val="22"/>
          <w:szCs w:val="22"/>
          <w:shd w:fill="auto" w:val="clear"/>
          <w:lang w:val="pt-BR" w:eastAsia="pt-BR" w:bidi="ar-SA"/>
        </w:rPr>
        <w:t>tendo em vista o que consta no Processo nº .............................. e em observância às disposições da Lei nº 14.133, de 1º de abril de 2021, e demais legislação aplicável, resolvem celebrar o presente Termo de Contrato, decorrente</w:t>
      </w:r>
      <w:r>
        <w:rPr>
          <w:rFonts w:eastAsia="ＭＳ 明朝" w:cs="Arial" w:ascii="Calibri" w:hAnsi="Calibri"/>
          <w:i w:val="false"/>
          <w:iCs w:val="false"/>
          <w:color w:val="000000"/>
          <w:kern w:val="0"/>
          <w:sz w:val="22"/>
          <w:szCs w:val="22"/>
          <w:shd w:fill="auto" w:val="clear"/>
          <w:lang w:val="pt-BR" w:eastAsia="pt-BR" w:bidi="ar-SA"/>
        </w:rPr>
        <w:t xml:space="preserve"> </w:t>
      </w:r>
      <w:r>
        <w:rPr>
          <w:rStyle w:val="Normaltextrun"/>
          <w:rFonts w:eastAsia="ＭＳ 明朝" w:cs="Arial" w:ascii="Calibri" w:hAnsi="Calibri"/>
          <w:i w:val="false"/>
          <w:iCs w:val="false"/>
          <w:color w:val="000000"/>
          <w:kern w:val="0"/>
          <w:sz w:val="22"/>
          <w:szCs w:val="22"/>
          <w:shd w:fill="auto" w:val="clear"/>
          <w:lang w:val="pt-BR" w:eastAsia="pt-BR" w:bidi="ar-SA"/>
        </w:rPr>
        <w:t>da Dispensa de Licitação n° 90094/2024</w:t>
      </w:r>
      <w:r>
        <w:rPr>
          <w:rFonts w:eastAsia="ＭＳ 明朝" w:cs="Arial" w:ascii="Calibri" w:hAnsi="Calibri"/>
          <w:i w:val="false"/>
          <w:iCs w:val="false"/>
          <w:color w:val="000000"/>
          <w:kern w:val="0"/>
          <w:sz w:val="22"/>
          <w:szCs w:val="22"/>
          <w:shd w:fill="auto" w:val="clear"/>
          <w:lang w:val="pt-BR" w:eastAsia="pt-BR" w:bidi="ar-SA"/>
        </w:rPr>
        <w:t>, mediante as cláusulas e condições a seguir enunciadas.</w:t>
      </w:r>
    </w:p>
    <w:p>
      <w:pPr>
        <w:pStyle w:val="Nivel01"/>
        <w:numPr>
          <w:ilvl w:val="0"/>
          <w:numId w:val="145"/>
        </w:numPr>
        <w:spacing w:lineRule="auto" w:line="312" w:before="120" w:after="288"/>
        <w:ind w:left="0" w:hanging="0"/>
        <w:rPr/>
      </w:pPr>
      <w:r>
        <w:rPr>
          <w:rFonts w:ascii="Calibri" w:hAnsi="Calibri"/>
          <w:shd w:fill="auto" w:val="clear"/>
        </w:rPr>
        <w:t>CLÁUSULA PRIMEIRA – OBJETO (</w:t>
      </w:r>
      <w:r>
        <w:fldChar w:fldCharType="begin"/>
      </w:r>
      <w:r>
        <w:rPr>
          <w:rStyle w:val="LinkdaInternet"/>
          <w:rFonts w:ascii="Calibri" w:hAnsi="Calibri"/>
        </w:rPr>
        <w:instrText> HYPERLINK "http://www.planalto.gov.br/ccivil_03/_ato2019-2022/2021/lei/L14133.htm" \l "art92"</w:instrText>
      </w:r>
      <w:r>
        <w:rPr>
          <w:rStyle w:val="LinkdaInternet"/>
          <w:rFonts w:ascii="Calibri" w:hAnsi="Calibri"/>
        </w:rPr>
        <w:fldChar w:fldCharType="separate"/>
      </w:r>
      <w:r>
        <w:rPr>
          <w:rStyle w:val="LinkdaInternet"/>
          <w:rFonts w:ascii="Calibri" w:hAnsi="Calibri"/>
        </w:rPr>
        <w:t>art. 92, I e II</w:t>
      </w:r>
      <w:r>
        <w:rPr>
          <w:rStyle w:val="LinkdaInternet"/>
          <w:rFonts w:ascii="Calibri" w:hAnsi="Calibri"/>
        </w:rPr>
        <w:fldChar w:fldCharType="end"/>
      </w:r>
      <w:r>
        <w:rPr>
          <w:rFonts w:ascii="Calibri" w:hAnsi="Calibri"/>
          <w:shd w:fill="auto" w:val="clear"/>
        </w:rPr>
        <w:t>)</w:t>
      </w:r>
    </w:p>
    <w:p>
      <w:pPr>
        <w:pStyle w:val="Nivel2"/>
        <w:numPr>
          <w:ilvl w:val="1"/>
          <w:numId w:val="146"/>
        </w:numPr>
        <w:spacing w:lineRule="auto" w:line="312" w:before="120" w:after="288"/>
        <w:ind w:left="0" w:firstLine="709"/>
        <w:rPr/>
      </w:pPr>
      <w:r>
        <w:rPr>
          <w:rFonts w:ascii="Calibri" w:hAnsi="Calibri"/>
          <w:sz w:val="22"/>
          <w:szCs w:val="22"/>
          <w:shd w:fill="auto" w:val="clear"/>
        </w:rPr>
        <w:t>O objeto do presente instrumento é a contratação de serviços co</w:t>
      </w:r>
      <w:r>
        <w:rPr>
          <w:rFonts w:eastAsia="ＭＳ 明朝" w:cs="Arial" w:ascii="Calibri" w:hAnsi="Calibri"/>
          <w:color w:val="000000"/>
          <w:kern w:val="0"/>
          <w:sz w:val="22"/>
          <w:szCs w:val="22"/>
          <w:shd w:fill="auto" w:val="clear"/>
          <w:lang w:val="pt-BR" w:eastAsia="pt-BR" w:bidi="ar-SA"/>
        </w:rPr>
        <w:t>muns de c</w:t>
      </w:r>
      <w:r>
        <w:rPr>
          <w:rStyle w:val="Fontepargpadro"/>
          <w:rFonts w:eastAsia="ＭＳ 明朝" w:cs="Arial" w:ascii="Calibri" w:hAnsi="Calibri"/>
          <w:color w:val="000000"/>
          <w:kern w:val="0"/>
          <w:sz w:val="22"/>
          <w:szCs w:val="22"/>
          <w:shd w:fill="auto" w:val="clear"/>
          <w:lang w:val="pt-BR" w:eastAsia="pt-BR" w:bidi="ar-SA"/>
        </w:rPr>
        <w:t>oleta, transporte e destinação final de resíduos sólidos, com fornecimento de caçambas de 5m², em regime de comodato, por empresa especializada e licenciada para a execução no campo de instrução de formosa (CIF), situado na cidade de Formosa/GO.</w:t>
      </w:r>
      <w:r>
        <w:rPr>
          <w:rFonts w:eastAsia="ＭＳ 明朝" w:cs="Arial" w:ascii="Calibri" w:hAnsi="Calibri"/>
          <w:color w:val="000000"/>
          <w:kern w:val="0"/>
          <w:sz w:val="22"/>
          <w:szCs w:val="22"/>
          <w:shd w:fill="auto" w:val="clear"/>
          <w:lang w:val="pt-BR" w:eastAsia="pt-BR" w:bidi="ar-SA"/>
        </w:rPr>
        <w:t xml:space="preserve"> nas condições estabelecidas no Termo de Referência.</w:t>
      </w:r>
    </w:p>
    <w:p>
      <w:pPr>
        <w:pStyle w:val="Nivel2"/>
        <w:numPr>
          <w:ilvl w:val="1"/>
          <w:numId w:val="147"/>
        </w:numPr>
        <w:spacing w:lineRule="auto" w:line="312" w:before="120" w:after="288"/>
        <w:ind w:left="0" w:firstLine="709"/>
        <w:rPr/>
      </w:pPr>
      <w:r>
        <w:rPr>
          <w:rFonts w:ascii="Calibri" w:hAnsi="Calibri"/>
          <w:sz w:val="22"/>
          <w:szCs w:val="22"/>
          <w:shd w:fill="auto" w:val="clear"/>
        </w:rPr>
        <w:t>Objeto da contratação:</w:t>
      </w:r>
    </w:p>
    <w:tbl>
      <w:tblPr>
        <w:tblW w:w="9780" w:type="dxa"/>
        <w:jc w:val="left"/>
        <w:tblInd w:w="-39" w:type="dxa"/>
        <w:tblCellMar>
          <w:top w:w="0" w:type="dxa"/>
          <w:left w:w="108" w:type="dxa"/>
          <w:bottom w:w="0" w:type="dxa"/>
          <w:right w:w="108" w:type="dxa"/>
        </w:tblCellMar>
        <w:tblLook w:val="04a0" w:noHBand="0" w:noVBand="1" w:firstColumn="1" w:lastRow="0" w:lastColumn="0" w:firstRow="1"/>
      </w:tblPr>
      <w:tblGrid>
        <w:gridCol w:w="993"/>
        <w:gridCol w:w="2554"/>
        <w:gridCol w:w="938"/>
        <w:gridCol w:w="1472"/>
        <w:gridCol w:w="1561"/>
        <w:gridCol w:w="1276"/>
        <w:gridCol w:w="985"/>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sz w:val="20"/>
                <w:szCs w:val="20"/>
              </w:rPr>
            </w:pPr>
            <w:r>
              <w:rPr>
                <w:rFonts w:eastAsia="Arial" w:cs="Arial" w:ascii="Calibri" w:hAnsi="Calibri"/>
                <w:b/>
                <w:bCs/>
                <w:color w:val="000000" w:themeColor="text1"/>
                <w:sz w:val="20"/>
                <w:szCs w:val="20"/>
                <w:shd w:fill="auto" w:val="clear"/>
              </w:rPr>
              <w:t>ITEM</w:t>
            </w:r>
          </w:p>
          <w:p>
            <w:pPr>
              <w:pStyle w:val="Normal"/>
              <w:widowControl w:val="false"/>
              <w:spacing w:lineRule="auto" w:line="276" w:before="120" w:after="288"/>
              <w:ind w:firstLine="709"/>
              <w:jc w:val="center"/>
              <w:rPr>
                <w:rFonts w:ascii="Calibri" w:hAnsi="Calibri" w:eastAsia="Arial" w:cs="Arial"/>
                <w:b/>
                <w:b/>
                <w:bCs/>
                <w:color w:val="000000"/>
                <w:sz w:val="20"/>
                <w:szCs w:val="20"/>
              </w:rPr>
            </w:pPr>
            <w:r>
              <w:rPr>
                <w:rFonts w:eastAsia="Arial" w:cs="Arial" w:ascii="Calibri" w:hAnsi="Calibri"/>
                <w:b/>
                <w:bCs/>
                <w:color w:val="000000"/>
                <w:sz w:val="20"/>
                <w:szCs w:val="20"/>
                <w:shd w:fill="auto" w:val="clear"/>
              </w:rPr>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sz w:val="20"/>
                <w:szCs w:val="20"/>
              </w:rPr>
            </w:pPr>
            <w:r>
              <w:rPr>
                <w:rFonts w:eastAsia="Arial" w:cs="Arial" w:ascii="Calibri" w:hAnsi="Calibri"/>
                <w:b/>
                <w:bCs/>
                <w:color w:val="000000" w:themeColor="text1"/>
                <w:sz w:val="20"/>
                <w:szCs w:val="20"/>
                <w:shd w:fill="auto" w:val="clear"/>
              </w:rPr>
              <w:t>ESPECIFICAÇÃO</w:t>
            </w:r>
          </w:p>
        </w:tc>
        <w:tc>
          <w:tcPr>
            <w:tcW w:w="9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sz w:val="20"/>
                <w:szCs w:val="20"/>
              </w:rPr>
            </w:pPr>
            <w:r>
              <w:rPr>
                <w:rFonts w:eastAsia="Arial" w:cs="Arial" w:ascii="Calibri" w:hAnsi="Calibri"/>
                <w:b/>
                <w:bCs/>
                <w:color w:val="000000" w:themeColor="text1"/>
                <w:sz w:val="20"/>
                <w:szCs w:val="20"/>
                <w:shd w:fill="auto" w:val="clear"/>
              </w:rPr>
              <w:t>CATSER</w:t>
            </w:r>
          </w:p>
        </w:tc>
        <w:tc>
          <w:tcPr>
            <w:tcW w:w="14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sz w:val="20"/>
                <w:szCs w:val="20"/>
              </w:rPr>
            </w:pPr>
            <w:r>
              <w:rPr>
                <w:rFonts w:eastAsia="Arial" w:cs="Arial" w:ascii="Calibri" w:hAnsi="Calibri"/>
                <w:b/>
                <w:bCs/>
                <w:color w:val="000000" w:themeColor="text1"/>
                <w:sz w:val="20"/>
                <w:szCs w:val="20"/>
                <w:shd w:fill="auto" w:val="clear"/>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sz w:val="20"/>
                <w:szCs w:val="20"/>
              </w:rPr>
            </w:pPr>
            <w:r>
              <w:rPr>
                <w:rFonts w:eastAsia="Arial" w:cs="Arial" w:ascii="Calibri" w:hAnsi="Calibri"/>
                <w:b/>
                <w:bCs/>
                <w:sz w:val="20"/>
                <w:szCs w:val="20"/>
                <w:shd w:fill="auto" w:val="clear"/>
              </w:rPr>
              <w:t>QUANTIDADE</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sz w:val="20"/>
                <w:szCs w:val="20"/>
              </w:rPr>
            </w:pPr>
            <w:r>
              <w:rPr>
                <w:rFonts w:eastAsia="Arial" w:cs="Arial" w:ascii="Calibri" w:hAnsi="Calibri"/>
                <w:b/>
                <w:bCs/>
                <w:sz w:val="20"/>
                <w:szCs w:val="20"/>
                <w:shd w:fill="auto" w:val="clear"/>
              </w:rPr>
              <w:t>VALOR UNITÁRIO</w:t>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sz w:val="20"/>
                <w:szCs w:val="20"/>
              </w:rPr>
            </w:pPr>
            <w:r>
              <w:rPr>
                <w:rFonts w:eastAsia="Arial" w:cs="Arial" w:ascii="Calibri" w:hAnsi="Calibri"/>
                <w:b/>
                <w:bCs/>
                <w:sz w:val="20"/>
                <w:szCs w:val="20"/>
                <w:shd w:fill="auto" w:val="clear"/>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sz w:val="22"/>
                <w:szCs w:val="22"/>
              </w:rPr>
            </w:pPr>
            <w:r>
              <w:rPr>
                <w:rFonts w:eastAsia="Arial" w:cs="Arial" w:ascii="Calibri" w:hAnsi="Calibri"/>
                <w:b/>
                <w:bCs/>
                <w:color w:val="000000" w:themeColor="text1"/>
                <w:sz w:val="22"/>
                <w:szCs w:val="22"/>
                <w:shd w:fill="auto" w:val="clear"/>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arlito" w:hAnsi="Carlito" w:eastAsia="Times New Roman" w:cs="Times New Roman"/>
                <w:i w:val="false"/>
                <w:i w:val="false"/>
                <w:iCs w:val="false"/>
                <w:color w:val="000000"/>
                <w:kern w:val="0"/>
                <w:sz w:val="16"/>
                <w:szCs w:val="16"/>
                <w:lang w:eastAsia="pt-BR" w:bidi="ar-SA"/>
              </w:rPr>
            </w:pPr>
            <w:r>
              <w:rPr>
                <w:rFonts w:eastAsia="Times New Roman" w:cs="Times New Roman" w:ascii="Carlito" w:hAnsi="Carlito"/>
                <w:i w:val="false"/>
                <w:iCs w:val="false"/>
                <w:color w:val="000000"/>
                <w:kern w:val="0"/>
                <w:sz w:val="16"/>
                <w:szCs w:val="16"/>
                <w:lang w:eastAsia="pt-BR" w:bidi="ar-SA"/>
              </w:rPr>
              <w:t>Serviço especializado de coleta, transporte, tratamento e destinação final de resíduos sólidos, com fornecimento de caçambas com no mínimo 5m³, em regime de comodato, de acordo com a norma NBR 10004/04 da ABNT. A contratada deverá possuir condições de substituir as caçambas com os resíduos sólidos gerados no Campo de Instrução de Formosa (CIF), situado na Cidade de Formosa/GO, pelo menos 02 (duas) vezes no dia ou mediante solicitação prévia do contratante, devendo atender,nesse caso, em até 24 h, contados a partir da solicitação do contratante, incluindo dias de feriados e finais de semana, durante o período mínimo 20 dias e máximo de 30 dias. A unidade a ser considerada na execução do serviço, será contabilizada por cada caçamba recolhida no local da execução do serviço. Despesas com combustível, frete, equipamentos, pessoal, mobilização, desmobilização, transporte, instalação e desinstalação das caçambas, bem como o custo com a destinação dos resíduos e quaisquer outras despesas necessárias à execução do serviço fica a cargo da CONTRATADA.</w:t>
            </w:r>
          </w:p>
        </w:tc>
        <w:tc>
          <w:tcPr>
            <w:tcW w:w="9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Arial" w:cs="Arial"/>
                <w:color w:val="000000"/>
                <w:sz w:val="22"/>
                <w:szCs w:val="22"/>
              </w:rPr>
            </w:pPr>
            <w:r>
              <w:rPr>
                <w:rFonts w:eastAsia="Arial" w:cs="Arial" w:ascii="Calibri" w:hAnsi="Calibri"/>
                <w:color w:val="000000"/>
                <w:sz w:val="22"/>
                <w:szCs w:val="22"/>
                <w:shd w:fill="auto" w:val="clear"/>
              </w:rPr>
            </w:r>
          </w:p>
        </w:tc>
        <w:tc>
          <w:tcPr>
            <w:tcW w:w="14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Arial" w:cs="Arial"/>
                <w:color w:val="000000"/>
                <w:sz w:val="22"/>
                <w:szCs w:val="22"/>
              </w:rPr>
            </w:pPr>
            <w:r>
              <w:rPr>
                <w:rFonts w:eastAsia="Arial" w:cs="Arial" w:ascii="Calibri" w:hAnsi="Calibri"/>
                <w:color w:val="000000"/>
                <w:sz w:val="22"/>
                <w:szCs w:val="22"/>
                <w:shd w:fill="auto"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Arial" w:cs="Arial"/>
                <w:color w:val="000000"/>
                <w:sz w:val="22"/>
                <w:szCs w:val="22"/>
              </w:rPr>
            </w:pPr>
            <w:r>
              <w:rPr>
                <w:rFonts w:eastAsia="Arial" w:cs="Arial" w:ascii="Calibri" w:hAnsi="Calibri"/>
                <w:color w:val="000000"/>
                <w:sz w:val="22"/>
                <w:szCs w:val="22"/>
                <w:shd w:fill="auto" w:val="clear"/>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Arial" w:cs="Arial"/>
                <w:color w:val="000000"/>
                <w:sz w:val="22"/>
                <w:szCs w:val="22"/>
              </w:rPr>
            </w:pPr>
            <w:r>
              <w:rPr>
                <w:rFonts w:eastAsia="Arial" w:cs="Arial" w:ascii="Calibri" w:hAnsi="Calibri"/>
                <w:color w:val="000000"/>
                <w:sz w:val="22"/>
                <w:szCs w:val="22"/>
                <w:shd w:fill="auto" w:val="clear"/>
              </w:rPr>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Arial" w:cs="Arial"/>
                <w:color w:val="000000"/>
                <w:sz w:val="22"/>
                <w:szCs w:val="22"/>
              </w:rPr>
            </w:pPr>
            <w:r>
              <w:rPr>
                <w:rFonts w:eastAsia="Arial" w:cs="Arial" w:ascii="Calibri" w:hAnsi="Calibri"/>
                <w:color w:val="000000"/>
                <w:sz w:val="22"/>
                <w:szCs w:val="22"/>
                <w:shd w:fill="auto" w:val="clear"/>
              </w:rPr>
            </w:r>
          </w:p>
        </w:tc>
      </w:tr>
    </w:tbl>
    <w:p>
      <w:pPr>
        <w:pStyle w:val="Nivel2"/>
        <w:numPr>
          <w:ilvl w:val="1"/>
          <w:numId w:val="148"/>
        </w:numPr>
        <w:spacing w:lineRule="auto" w:line="240" w:before="0" w:after="0"/>
        <w:ind w:left="0" w:firstLine="567"/>
        <w:rPr>
          <w:sz w:val="22"/>
          <w:szCs w:val="22"/>
        </w:rPr>
      </w:pPr>
      <w:r>
        <w:rPr>
          <w:rFonts w:ascii="Calibri" w:hAnsi="Calibri"/>
          <w:sz w:val="22"/>
          <w:szCs w:val="22"/>
          <w:shd w:fill="auto" w:val="clear"/>
        </w:rPr>
        <w:t>Vinculam esta contratação, independentemente de transcrição:</w:t>
      </w:r>
    </w:p>
    <w:p>
      <w:pPr>
        <w:pStyle w:val="Nivel3"/>
        <w:numPr>
          <w:ilvl w:val="2"/>
          <w:numId w:val="149"/>
        </w:numPr>
        <w:spacing w:lineRule="auto" w:line="240" w:before="0" w:after="0"/>
        <w:ind w:left="170" w:firstLine="709"/>
        <w:rPr>
          <w:sz w:val="22"/>
          <w:szCs w:val="22"/>
        </w:rPr>
      </w:pPr>
      <w:r>
        <w:rPr>
          <w:rFonts w:ascii="Calibri" w:hAnsi="Calibri"/>
          <w:sz w:val="22"/>
          <w:szCs w:val="22"/>
          <w:shd w:fill="auto" w:val="clear"/>
        </w:rPr>
        <w:t>O Termo de Referência;</w:t>
      </w:r>
    </w:p>
    <w:p>
      <w:pPr>
        <w:pStyle w:val="Nivel3"/>
        <w:numPr>
          <w:ilvl w:val="2"/>
          <w:numId w:val="150"/>
        </w:numPr>
        <w:spacing w:lineRule="auto" w:line="240" w:before="0" w:after="0"/>
        <w:ind w:left="170" w:firstLine="709"/>
        <w:rPr/>
      </w:pPr>
      <w:r>
        <w:rPr>
          <w:rStyle w:val="Normaltextrun"/>
          <w:rFonts w:ascii="Calibri" w:hAnsi="Calibri"/>
          <w:sz w:val="22"/>
          <w:szCs w:val="22"/>
          <w:shd w:fill="auto" w:val="clear"/>
        </w:rPr>
        <w:t>A Autorização de Contratação Direta e/ou o Aviso de Dispensa Eletrônica, caso existentes;</w:t>
      </w:r>
    </w:p>
    <w:p>
      <w:pPr>
        <w:pStyle w:val="Nivel3"/>
        <w:numPr>
          <w:ilvl w:val="2"/>
          <w:numId w:val="151"/>
        </w:numPr>
        <w:spacing w:lineRule="auto" w:line="240" w:before="0" w:after="0"/>
        <w:ind w:left="170" w:firstLine="709"/>
        <w:rPr>
          <w:sz w:val="22"/>
          <w:szCs w:val="22"/>
        </w:rPr>
      </w:pPr>
      <w:r>
        <w:rPr>
          <w:rFonts w:ascii="Calibri" w:hAnsi="Calibri"/>
          <w:sz w:val="22"/>
          <w:szCs w:val="22"/>
          <w:shd w:fill="auto" w:val="clear"/>
        </w:rPr>
        <w:t>A Proposta do contratado; e</w:t>
      </w:r>
    </w:p>
    <w:p>
      <w:pPr>
        <w:pStyle w:val="Nivel3"/>
        <w:numPr>
          <w:ilvl w:val="2"/>
          <w:numId w:val="152"/>
        </w:numPr>
        <w:spacing w:lineRule="auto" w:line="240" w:before="0" w:after="0"/>
        <w:ind w:left="170" w:firstLine="709"/>
        <w:rPr>
          <w:sz w:val="22"/>
          <w:szCs w:val="22"/>
        </w:rPr>
      </w:pPr>
      <w:r>
        <w:rPr>
          <w:rFonts w:ascii="Calibri" w:hAnsi="Calibri"/>
          <w:sz w:val="22"/>
          <w:szCs w:val="22"/>
          <w:shd w:fill="auto" w:val="clear"/>
        </w:rPr>
        <w:t>Eventuais anexos dos documentos supracitados.</w:t>
      </w:r>
    </w:p>
    <w:p>
      <w:pPr>
        <w:pStyle w:val="Nivel3"/>
        <w:numPr>
          <w:ilvl w:val="0"/>
          <w:numId w:val="0"/>
        </w:numPr>
        <w:spacing w:lineRule="auto" w:line="240" w:before="0" w:after="0"/>
        <w:ind w:left="170" w:hanging="0"/>
        <w:rPr>
          <w:sz w:val="22"/>
          <w:szCs w:val="22"/>
        </w:rPr>
      </w:pPr>
      <w:r>
        <w:rPr>
          <w:sz w:val="22"/>
          <w:szCs w:val="22"/>
          <w:shd w:fill="auto" w:val="clear"/>
        </w:rPr>
      </w:r>
    </w:p>
    <w:p>
      <w:pPr>
        <w:pStyle w:val="Nivel01"/>
        <w:numPr>
          <w:ilvl w:val="0"/>
          <w:numId w:val="153"/>
        </w:numPr>
        <w:spacing w:lineRule="auto" w:line="312" w:before="120" w:after="288"/>
        <w:ind w:left="0" w:hanging="0"/>
        <w:rPr>
          <w:sz w:val="22"/>
          <w:szCs w:val="22"/>
        </w:rPr>
      </w:pPr>
      <w:r>
        <w:rPr>
          <w:rFonts w:ascii="Calibri" w:hAnsi="Calibri"/>
          <w:sz w:val="22"/>
          <w:szCs w:val="22"/>
          <w:shd w:fill="auto" w:val="clear"/>
        </w:rPr>
        <w:t>CLÁUSULA SEGUNDA – VIGÊNCIA E PRORROGAÇÃO</w:t>
      </w:r>
    </w:p>
    <w:p>
      <w:pPr>
        <w:pStyle w:val="Nivel2"/>
        <w:numPr>
          <w:ilvl w:val="1"/>
          <w:numId w:val="154"/>
        </w:numPr>
        <w:spacing w:lineRule="auto" w:line="312" w:before="120" w:after="288"/>
        <w:ind w:left="0" w:firstLine="567"/>
        <w:rPr>
          <w:i w:val="false"/>
          <w:i w:val="false"/>
          <w:iCs w:val="false"/>
          <w:color w:val="000000"/>
          <w:sz w:val="22"/>
          <w:szCs w:val="22"/>
        </w:rPr>
      </w:pPr>
      <w:r>
        <w:rPr>
          <w:rFonts w:ascii="Calibri" w:hAnsi="Calibri"/>
          <w:i w:val="false"/>
          <w:iCs w:val="false"/>
          <w:color w:val="000000"/>
          <w:sz w:val="22"/>
          <w:szCs w:val="22"/>
          <w:shd w:fill="auto" w:val="clear"/>
        </w:rPr>
        <w:t>O prazo de vigência da contratação é de 12 (doze) meses contados da publicaç</w:t>
      </w:r>
      <w:r>
        <w:rPr>
          <w:rFonts w:eastAsia="ＭＳ 明朝" w:cs="Arial" w:ascii="Calibri" w:hAnsi="Calibri"/>
          <w:i w:val="false"/>
          <w:iCs w:val="false"/>
          <w:color w:val="000000"/>
          <w:kern w:val="0"/>
          <w:sz w:val="22"/>
          <w:szCs w:val="22"/>
          <w:shd w:fill="auto" w:val="clear"/>
          <w:lang w:val="pt-BR" w:eastAsia="pt-BR" w:bidi="ar-SA"/>
        </w:rPr>
        <w:t>ão do contrato</w:t>
      </w:r>
      <w:r>
        <w:rPr>
          <w:rFonts w:ascii="Calibri" w:hAnsi="Calibri"/>
          <w:i w:val="false"/>
          <w:iCs w:val="false"/>
          <w:color w:val="000000"/>
          <w:sz w:val="22"/>
          <w:szCs w:val="22"/>
          <w:shd w:fill="auto" w:val="clear"/>
        </w:rPr>
        <w:t>, na forma do artigo 105 da Lei n° 14.133, de 2021.</w:t>
      </w:r>
    </w:p>
    <w:p>
      <w:pPr>
        <w:pStyle w:val="Nivel2"/>
        <w:numPr>
          <w:ilvl w:val="1"/>
          <w:numId w:val="155"/>
        </w:numPr>
        <w:spacing w:lineRule="auto" w:line="312" w:before="120" w:after="288"/>
        <w:ind w:left="0" w:firstLine="567"/>
        <w:rPr>
          <w:i w:val="false"/>
          <w:i w:val="false"/>
          <w:iCs w:val="false"/>
          <w:color w:val="000000"/>
          <w:sz w:val="22"/>
          <w:szCs w:val="22"/>
        </w:rPr>
      </w:pPr>
      <w:r>
        <w:rPr>
          <w:rFonts w:ascii="Calibri" w:hAnsi="Calibri"/>
          <w:i w:val="false"/>
          <w:iCs w:val="false"/>
          <w:color w:val="000000"/>
          <w:sz w:val="22"/>
          <w:szCs w:val="22"/>
          <w:shd w:fill="auto" w:val="clear"/>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56"/>
        </w:numPr>
        <w:spacing w:lineRule="auto" w:line="312" w:before="120" w:after="288"/>
        <w:ind w:left="0" w:hanging="0"/>
        <w:rPr/>
      </w:pPr>
      <w:bookmarkStart w:id="0" w:name="_Hlk114497502"/>
      <w:bookmarkStart w:id="1" w:name="_Hlk1335906751"/>
      <w:bookmarkStart w:id="2" w:name="_Hlk114497577"/>
      <w:bookmarkEnd w:id="0"/>
      <w:bookmarkEnd w:id="1"/>
      <w:bookmarkEnd w:id="2"/>
      <w:r>
        <w:rPr>
          <w:rFonts w:ascii="Calibri" w:hAnsi="Calibri"/>
          <w:sz w:val="22"/>
          <w:szCs w:val="22"/>
          <w:shd w:fill="auto" w:val="clear"/>
        </w:rPr>
        <w:t>CLÁUSULA TERCEIRA – MODELOS DE EXECUÇÃO E GESTÃO CONTRATUAIS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IV, VII e XVIII)</w:t>
      </w:r>
      <w:r>
        <w:rPr>
          <w:rStyle w:val="LinkdaInternet"/>
          <w:sz w:val="22"/>
          <w:szCs w:val="22"/>
          <w:rFonts w:ascii="Calibri" w:hAnsi="Calibri"/>
        </w:rPr>
        <w:fldChar w:fldCharType="end"/>
      </w:r>
    </w:p>
    <w:p>
      <w:pPr>
        <w:pStyle w:val="Nivel2"/>
        <w:numPr>
          <w:ilvl w:val="1"/>
          <w:numId w:val="157"/>
        </w:numPr>
        <w:spacing w:lineRule="auto" w:line="312" w:before="120" w:after="288"/>
        <w:ind w:left="0" w:firstLine="567"/>
        <w:rPr>
          <w:sz w:val="22"/>
          <w:szCs w:val="22"/>
        </w:rPr>
      </w:pPr>
      <w:r>
        <w:rPr>
          <w:rFonts w:ascii="Calibri" w:hAnsi="Calibri"/>
          <w:sz w:val="22"/>
          <w:szCs w:val="22"/>
          <w:shd w:fill="auto" w:val="clea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8"/>
        </w:numPr>
        <w:spacing w:lineRule="auto" w:line="312" w:before="120" w:after="288"/>
        <w:ind w:left="0" w:hanging="0"/>
        <w:rPr>
          <w:rFonts w:ascii="Calibri" w:hAnsi="Calibri" w:eastAsia="ＭＳ ゴシック" w:cs="Arial"/>
          <w:b/>
          <w:b/>
          <w:bCs/>
          <w:color w:val="auto"/>
          <w:kern w:val="0"/>
          <w:sz w:val="22"/>
          <w:szCs w:val="22"/>
          <w:lang w:val="pt-BR" w:eastAsia="pt-BR" w:bidi="ar-SA"/>
        </w:rPr>
      </w:pPr>
      <w:r>
        <w:rPr>
          <w:rFonts w:eastAsia="ＭＳ ゴシック" w:cs="Arial" w:ascii="Calibri" w:hAnsi="Calibri"/>
          <w:b/>
          <w:bCs/>
          <w:color w:val="000000"/>
          <w:kern w:val="0"/>
          <w:sz w:val="22"/>
          <w:szCs w:val="22"/>
          <w:shd w:fill="auto" w:val="clear"/>
          <w:lang w:val="pt-BR" w:eastAsia="pt-BR" w:bidi="ar-SA"/>
        </w:rPr>
        <w:t>CLÁUSULA QUARTA – SUBCONTRATAÇÃO</w:t>
      </w:r>
    </w:p>
    <w:p>
      <w:pPr>
        <w:pStyle w:val="Nivel2"/>
        <w:numPr>
          <w:ilvl w:val="1"/>
          <w:numId w:val="159"/>
        </w:numPr>
        <w:spacing w:lineRule="auto" w:line="312" w:before="120" w:after="288"/>
        <w:ind w:left="0" w:firstLine="567"/>
        <w:rPr>
          <w:rFonts w:ascii="Calibri" w:hAnsi="Calibri"/>
          <w:sz w:val="24"/>
          <w:szCs w:val="24"/>
        </w:rPr>
      </w:pPr>
      <w:r>
        <w:rPr>
          <w:rFonts w:ascii="Calibri" w:hAnsi="Calibri"/>
          <w:i/>
          <w:color w:val="000000" w:themeColor="text1"/>
          <w:sz w:val="24"/>
          <w:szCs w:val="24"/>
        </w:rPr>
        <w:t>É permitida a subcontratação parcial do objeto, até o limite de 30% (trinta por cento) do valor total do contrato, nas seguintes condições:</w:t>
      </w:r>
    </w:p>
    <w:p>
      <w:pPr>
        <w:pStyle w:val="Nivel4"/>
        <w:numPr>
          <w:ilvl w:val="3"/>
          <w:numId w:val="160"/>
        </w:numPr>
        <w:ind w:left="851" w:hanging="0"/>
        <w:rPr>
          <w:rFonts w:ascii="Calibri" w:hAnsi="Calibri"/>
          <w:sz w:val="24"/>
          <w:szCs w:val="24"/>
        </w:rPr>
      </w:pPr>
      <w:r>
        <w:rPr>
          <w:rFonts w:ascii="Calibri" w:hAnsi="Calibri"/>
          <w:sz w:val="24"/>
          <w:szCs w:val="24"/>
        </w:rPr>
        <w:t xml:space="preserve">As atividades que poderão ser subcontratadas serão aquelas que a contratada achar interessante ao serviço a ser realizado, mediante comunicação expressa a contratante, sobre quais serviços serão realizados na recepção, montagem e fornecimento de alimentação. </w:t>
      </w:r>
    </w:p>
    <w:p>
      <w:pPr>
        <w:pStyle w:val="Nivel4"/>
        <w:numPr>
          <w:ilvl w:val="3"/>
          <w:numId w:val="161"/>
        </w:numPr>
        <w:ind w:left="851" w:hanging="0"/>
        <w:rPr>
          <w:rFonts w:ascii="Calibri" w:hAnsi="Calibri"/>
          <w:sz w:val="24"/>
          <w:szCs w:val="24"/>
        </w:rPr>
      </w:pPr>
      <w:r>
        <w:rPr>
          <w:rFonts w:ascii="Calibri" w:hAnsi="Calibri"/>
          <w:sz w:val="24"/>
          <w:szCs w:val="24"/>
        </w:rPr>
        <w:t xml:space="preserve"> </w:t>
      </w:r>
      <w:r>
        <w:rPr>
          <w:rFonts w:ascii="Calibri" w:hAnsi="Calibri"/>
          <w:sz w:val="24"/>
          <w:szCs w:val="24"/>
        </w:rPr>
        <w:t xml:space="preserve">As empresas subcontratadas deverão estar de acordo com o exigido na legislação referente ao serviço prestado e o que se pede neste Termo de Referência e o Aviso. </w:t>
      </w:r>
    </w:p>
    <w:p>
      <w:pPr>
        <w:pStyle w:val="Nivel4"/>
        <w:numPr>
          <w:ilvl w:val="3"/>
          <w:numId w:val="162"/>
        </w:numPr>
        <w:ind w:left="851" w:hanging="0"/>
        <w:rPr>
          <w:rFonts w:ascii="Calibri" w:hAnsi="Calibri"/>
          <w:sz w:val="24"/>
          <w:szCs w:val="24"/>
        </w:rPr>
      </w:pPr>
      <w:r>
        <w:rPr>
          <w:rFonts w:ascii="Calibri" w:hAnsi="Calibri"/>
          <w:sz w:val="24"/>
          <w:szCs w:val="24"/>
        </w:rPr>
        <w:t xml:space="preserve">A empresa contratada se comprometerá a substituir a subcontratada, no prazo máximo de 48h (quarenta e oito) horas anteriores ao evento, na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 </w:t>
      </w:r>
    </w:p>
    <w:p>
      <w:pPr>
        <w:pStyle w:val="Nivel4"/>
        <w:numPr>
          <w:ilvl w:val="3"/>
          <w:numId w:val="163"/>
        </w:numPr>
        <w:ind w:left="851" w:hanging="0"/>
        <w:rPr>
          <w:rFonts w:ascii="Calibri" w:hAnsi="Calibri"/>
          <w:sz w:val="24"/>
          <w:szCs w:val="24"/>
        </w:rPr>
      </w:pPr>
      <w:r>
        <w:rPr>
          <w:rFonts w:ascii="Calibri" w:hAnsi="Calibri"/>
          <w:sz w:val="24"/>
          <w:szCs w:val="24"/>
        </w:rPr>
        <w:t xml:space="preserve"> </w:t>
      </w:r>
      <w:r>
        <w:rPr>
          <w:rFonts w:ascii="Calibri" w:hAnsi="Calibri"/>
          <w:sz w:val="24"/>
          <w:szCs w:val="24"/>
        </w:rPr>
        <w:t xml:space="preserve">A subcontratação depende de autorização prévia da Contratante, a quem incumbe avaliar se a subcontratada cumpre os requisitos de qualificação técnica necessários para a </w:t>
      </w:r>
      <w:r>
        <w:rPr>
          <w:rFonts w:ascii="Calibri" w:hAnsi="Calibri"/>
          <w:color w:val="000000" w:themeColor="text1"/>
          <w:sz w:val="24"/>
          <w:szCs w:val="24"/>
        </w:rPr>
        <w:t>execução do objeto.</w:t>
      </w:r>
    </w:p>
    <w:p>
      <w:pPr>
        <w:pStyle w:val="Nivel2"/>
        <w:numPr>
          <w:ilvl w:val="1"/>
          <w:numId w:val="164"/>
        </w:numPr>
        <w:spacing w:lineRule="auto" w:line="312" w:before="120" w:after="288"/>
        <w:ind w:left="0" w:firstLine="567"/>
        <w:rPr>
          <w:rFonts w:ascii="Calibri" w:hAnsi="Calibri"/>
          <w:sz w:val="24"/>
          <w:szCs w:val="24"/>
        </w:rPr>
      </w:pPr>
      <w:r>
        <w:rPr>
          <w:rFonts w:ascii="Calibri" w:hAnsi="Calibri"/>
          <w:i/>
          <w:color w:val="000000" w:themeColor="text1"/>
          <w:sz w:val="24"/>
          <w:szCs w:val="24"/>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ivel2"/>
        <w:numPr>
          <w:ilvl w:val="1"/>
          <w:numId w:val="165"/>
        </w:numPr>
        <w:spacing w:lineRule="auto" w:line="312" w:before="120" w:after="288"/>
        <w:ind w:left="0" w:firstLine="567"/>
        <w:rPr>
          <w:rFonts w:ascii="Calibri" w:hAnsi="Calibri"/>
          <w:sz w:val="24"/>
          <w:szCs w:val="24"/>
        </w:rPr>
      </w:pPr>
      <w:r>
        <w:rPr>
          <w:rFonts w:ascii="Calibri" w:hAnsi="Calibri"/>
          <w:i/>
          <w:color w:val="000000" w:themeColor="text1"/>
          <w:sz w:val="24"/>
          <w:szCs w:val="24"/>
        </w:rPr>
        <w:t>A subcontratação depende de autorização prévia do contratante, a quem incumbe avaliar se o subcontratado cumpre os requisitos de qualificação técnica necessários para a execução do objeto.</w:t>
      </w:r>
    </w:p>
    <w:p>
      <w:pPr>
        <w:pStyle w:val="Nivel2"/>
        <w:numPr>
          <w:ilvl w:val="1"/>
          <w:numId w:val="166"/>
        </w:numPr>
        <w:spacing w:lineRule="auto" w:line="312" w:before="120" w:after="288"/>
        <w:ind w:left="0" w:firstLine="567"/>
        <w:rPr>
          <w:rFonts w:ascii="Calibri" w:hAnsi="Calibri"/>
          <w:sz w:val="24"/>
          <w:szCs w:val="24"/>
        </w:rPr>
      </w:pPr>
      <w:r>
        <w:rPr>
          <w:rFonts w:ascii="Calibri" w:hAnsi="Calibri"/>
          <w:i/>
          <w:color w:val="000000" w:themeColor="text1"/>
          <w:sz w:val="24"/>
          <w:szCs w:val="24"/>
        </w:rPr>
        <w:t>O contratado apresentará à Administração documentação que comprove a capacidade técnica do subcontratado, que será avaliada e juntada aos autos do processo correspondente.</w:t>
      </w:r>
    </w:p>
    <w:p>
      <w:pPr>
        <w:pStyle w:val="Nivel2"/>
        <w:numPr>
          <w:ilvl w:val="1"/>
          <w:numId w:val="167"/>
        </w:numPr>
        <w:spacing w:lineRule="auto" w:line="312" w:before="120" w:after="288"/>
        <w:ind w:left="0" w:firstLine="567"/>
        <w:rPr>
          <w:rFonts w:ascii="Calibri" w:hAnsi="Calibri"/>
          <w:sz w:val="24"/>
          <w:szCs w:val="24"/>
        </w:rPr>
      </w:pPr>
      <w:r>
        <w:rPr>
          <w:rFonts w:eastAsia="Arial" w:ascii="Calibri" w:hAnsi="Calibri"/>
          <w:i/>
          <w:color w:val="000000" w:themeColor="text1"/>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ivel3"/>
        <w:numPr>
          <w:ilvl w:val="0"/>
          <w:numId w:val="0"/>
        </w:numPr>
        <w:ind w:left="0" w:right="0" w:hanging="0"/>
        <w:rPr/>
      </w:pPr>
      <w:r>
        <w:rPr/>
        <w:t xml:space="preserve"> </w:t>
      </w:r>
    </w:p>
    <w:p>
      <w:pPr>
        <w:pStyle w:val="Nvel2Red"/>
        <w:widowControl/>
        <w:numPr>
          <w:ilvl w:val="0"/>
          <w:numId w:val="0"/>
        </w:numPr>
        <w:suppressAutoHyphens w:val="true"/>
        <w:bidi w:val="0"/>
        <w:spacing w:lineRule="auto" w:line="276" w:before="120" w:after="120"/>
        <w:ind w:left="1417" w:right="0" w:hanging="0"/>
        <w:jc w:val="both"/>
        <w:rPr>
          <w:rFonts w:ascii="Ecofont_Spranq_eco_Sans" w:hAnsi="Ecofont_Spranq_eco_Sans" w:eastAsia="Arial" w:cs="Arial"/>
          <w:b w:val="false"/>
          <w:b w:val="false"/>
          <w:bCs w:val="false"/>
          <w:i w:val="false"/>
          <w:i w:val="false"/>
          <w:iCs w:val="false"/>
          <w:sz w:val="20"/>
          <w:szCs w:val="20"/>
          <w:lang w:eastAsia="pt-BR"/>
        </w:rPr>
      </w:pPr>
      <w:r>
        <w:rPr>
          <w:rFonts w:eastAsia="Arial" w:cs="Arial" w:ascii="Ecofont_Spranq_eco_Sans" w:hAnsi="Ecofont_Spranq_eco_Sans"/>
          <w:b w:val="false"/>
          <w:bCs w:val="false"/>
          <w:i w:val="false"/>
          <w:iCs w:val="false"/>
          <w:sz w:val="20"/>
          <w:szCs w:val="20"/>
          <w:lang w:eastAsia="pt-BR"/>
        </w:rPr>
      </w:r>
    </w:p>
    <w:p>
      <w:pPr>
        <w:pStyle w:val="Nivel01"/>
        <w:numPr>
          <w:ilvl w:val="0"/>
          <w:numId w:val="168"/>
        </w:numPr>
        <w:spacing w:lineRule="auto" w:line="312" w:before="120" w:after="288"/>
        <w:ind w:left="0" w:hanging="0"/>
        <w:rPr>
          <w:sz w:val="22"/>
          <w:szCs w:val="22"/>
        </w:rPr>
      </w:pPr>
      <w:r>
        <w:rPr>
          <w:rFonts w:ascii="Calibri" w:hAnsi="Calibri"/>
          <w:sz w:val="22"/>
          <w:szCs w:val="22"/>
          <w:shd w:fill="auto" w:val="clear"/>
        </w:rPr>
        <w:t>CLÁUSULA QUINTA - PREÇO</w:t>
      </w:r>
    </w:p>
    <w:p>
      <w:pPr>
        <w:pStyle w:val="Nivel2"/>
        <w:numPr>
          <w:ilvl w:val="1"/>
          <w:numId w:val="169"/>
        </w:numPr>
        <w:spacing w:lineRule="auto" w:line="312" w:before="120" w:after="288"/>
        <w:ind w:left="0" w:firstLine="567"/>
        <w:rPr>
          <w:i w:val="false"/>
          <w:i w:val="false"/>
          <w:iCs w:val="false"/>
          <w:color w:val="000000"/>
          <w:sz w:val="22"/>
          <w:szCs w:val="22"/>
        </w:rPr>
      </w:pPr>
      <w:r>
        <w:rPr>
          <w:rFonts w:ascii="Calibri" w:hAnsi="Calibri"/>
          <w:i w:val="false"/>
          <w:iCs w:val="false"/>
          <w:color w:val="000000"/>
          <w:sz w:val="22"/>
          <w:szCs w:val="22"/>
          <w:shd w:fill="auto" w:val="clear"/>
        </w:rPr>
        <w:t>O valor total da contratação é de R$.......... (.....)</w:t>
      </w:r>
    </w:p>
    <w:p>
      <w:pPr>
        <w:pStyle w:val="Nivel2"/>
        <w:numPr>
          <w:ilvl w:val="1"/>
          <w:numId w:val="170"/>
        </w:numPr>
        <w:spacing w:lineRule="auto" w:line="312" w:before="120" w:after="288"/>
        <w:ind w:left="0" w:firstLine="567"/>
        <w:rPr>
          <w:i w:val="false"/>
          <w:i w:val="false"/>
          <w:iCs w:val="false"/>
          <w:sz w:val="22"/>
          <w:szCs w:val="22"/>
        </w:rPr>
      </w:pPr>
      <w:r>
        <w:rPr>
          <w:rFonts w:ascii="Calibri" w:hAnsi="Calibri"/>
          <w:i w:val="false"/>
          <w:iCs w:val="false"/>
          <w:sz w:val="22"/>
          <w:szCs w:val="22"/>
          <w:shd w:fill="auto" w:val="clea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71"/>
        </w:numPr>
        <w:spacing w:lineRule="auto" w:line="312" w:before="120" w:after="288"/>
        <w:ind w:left="0" w:firstLine="567"/>
        <w:rPr>
          <w:i w:val="false"/>
          <w:i w:val="false"/>
          <w:iCs w:val="false"/>
          <w:color w:val="000000"/>
          <w:sz w:val="22"/>
          <w:szCs w:val="22"/>
        </w:rPr>
      </w:pPr>
      <w:r>
        <w:rPr>
          <w:rFonts w:ascii="Calibri" w:hAnsi="Calibri"/>
          <w:i w:val="false"/>
          <w:iCs w:val="false"/>
          <w:color w:val="000000"/>
          <w:sz w:val="22"/>
          <w:szCs w:val="22"/>
          <w:shd w:fill="auto" w:val="clear"/>
        </w:rPr>
        <w:t>O valor acima é meramente estimativo, de forma que os pagamentos devidos ao contratado dependerão dos quantitativos de serviços efetivamente prestados.</w:t>
      </w:r>
    </w:p>
    <w:p>
      <w:pPr>
        <w:pStyle w:val="Nivel2"/>
        <w:numPr>
          <w:ilvl w:val="1"/>
          <w:numId w:val="172"/>
        </w:numPr>
        <w:spacing w:lineRule="auto" w:line="312" w:before="120" w:after="288"/>
        <w:ind w:left="0" w:firstLine="567"/>
        <w:rPr>
          <w:rFonts w:ascii="Calibri" w:hAnsi="Calibri"/>
          <w:sz w:val="24"/>
          <w:szCs w:val="24"/>
        </w:rPr>
      </w:pPr>
      <w:bookmarkStart w:id="3" w:name="_Hlk133590370"/>
      <w:bookmarkEnd w:id="3"/>
      <w:r>
        <w:rPr>
          <w:rFonts w:ascii="Calibri" w:hAnsi="Calibri"/>
          <w:i w:val="false"/>
          <w:iCs w:val="false"/>
          <w:color w:val="000000"/>
          <w:sz w:val="24"/>
          <w:szCs w:val="24"/>
          <w:shd w:fill="auto" w:val="clear"/>
        </w:rPr>
        <w:t>Na ocasião da não realização do serviço por motivo de força maior, situação de emergência, mau tempo ou outros, será pago apenas os custos da CONTRATADA mediante comprovação, cancelando a obrigação da prestação da realização do serviço.</w:t>
      </w:r>
    </w:p>
    <w:p>
      <w:pPr>
        <w:pStyle w:val="Nivel01"/>
        <w:numPr>
          <w:ilvl w:val="0"/>
          <w:numId w:val="173"/>
        </w:numPr>
        <w:spacing w:lineRule="auto" w:line="312" w:before="120" w:after="288"/>
        <w:ind w:left="0" w:hanging="0"/>
        <w:rPr/>
      </w:pPr>
      <w:r>
        <w:rPr>
          <w:rFonts w:ascii="Calibri" w:hAnsi="Calibri"/>
          <w:sz w:val="22"/>
          <w:szCs w:val="22"/>
          <w:shd w:fill="auto" w:val="clear"/>
        </w:rPr>
        <w:t>CLÁUSULA SEXTA - PAGAMENTO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V e VI</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174"/>
        </w:numPr>
        <w:spacing w:lineRule="auto" w:line="312" w:before="120" w:after="288"/>
        <w:ind w:left="0" w:firstLine="567"/>
        <w:rPr>
          <w:sz w:val="22"/>
          <w:szCs w:val="22"/>
        </w:rPr>
      </w:pPr>
      <w:r>
        <w:rPr>
          <w:rFonts w:ascii="Calibri" w:hAnsi="Calibri"/>
          <w:sz w:val="22"/>
          <w:szCs w:val="22"/>
          <w:shd w:fill="auto" w:val="clear"/>
        </w:rPr>
        <w:t xml:space="preserve">O prazo para pagamento </w:t>
      </w:r>
      <w:r>
        <w:rPr>
          <w:rFonts w:ascii="Calibri" w:hAnsi="Calibri"/>
          <w:color w:val="000000"/>
          <w:sz w:val="22"/>
          <w:szCs w:val="22"/>
          <w:shd w:fill="auto" w:val="clear"/>
          <w:lang w:eastAsia="en-US"/>
        </w:rPr>
        <w:t>ao contratado</w:t>
      </w:r>
      <w:r>
        <w:rPr>
          <w:rFonts w:ascii="Calibri" w:hAnsi="Calibri"/>
          <w:sz w:val="22"/>
          <w:szCs w:val="22"/>
          <w:shd w:fill="auto" w:val="clear"/>
        </w:rPr>
        <w:t xml:space="preserve"> e demais condições a ele referentes encontram-se definidos no Termo de Referência, anexo a este Contrato.</w:t>
      </w:r>
    </w:p>
    <w:p>
      <w:pPr>
        <w:pStyle w:val="Nivel01"/>
        <w:numPr>
          <w:ilvl w:val="0"/>
          <w:numId w:val="175"/>
        </w:numPr>
        <w:spacing w:lineRule="auto" w:line="312" w:before="120" w:after="288"/>
        <w:ind w:left="0" w:hanging="0"/>
        <w:rPr/>
      </w:pPr>
      <w:commentRangeStart w:id="0"/>
      <w:r>
        <w:rPr>
          <w:rFonts w:ascii="Calibri" w:hAnsi="Calibri"/>
          <w:sz w:val="22"/>
          <w:szCs w:val="22"/>
          <w:shd w:fill="auto" w:val="clear"/>
        </w:rPr>
        <w:t>CLÁUSULA SÉTIMA - REAJUSTE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V</w:t>
      </w:r>
      <w:r>
        <w:rPr>
          <w:rStyle w:val="LinkdaInternet"/>
          <w:sz w:val="22"/>
          <w:szCs w:val="22"/>
          <w:rFonts w:ascii="Calibri" w:hAnsi="Calibri"/>
        </w:rPr>
        <w:fldChar w:fldCharType="end"/>
      </w:r>
      <w:r>
        <w:rPr>
          <w:rFonts w:ascii="Calibri" w:hAnsi="Calibri"/>
          <w:sz w:val="22"/>
          <w:szCs w:val="22"/>
          <w:shd w:fill="auto" w:val="clear"/>
        </w:rPr>
        <w:t>)</w:t>
      </w:r>
      <w:commentRangeEnd w:id="0"/>
      <w:r>
        <w:commentReference w:id="0"/>
      </w:r>
      <w:r>
        <w:rPr>
          <w:rFonts w:ascii="Calibri" w:hAnsi="Calibri"/>
          <w:sz w:val="22"/>
          <w:szCs w:val="22"/>
          <w:shd w:fill="auto" w:val="clear"/>
        </w:rPr>
      </w:r>
    </w:p>
    <w:p>
      <w:pPr>
        <w:pStyle w:val="Nivel2"/>
        <w:numPr>
          <w:ilvl w:val="1"/>
          <w:numId w:val="176"/>
        </w:numPr>
        <w:spacing w:lineRule="auto" w:line="312" w:before="120" w:after="288"/>
        <w:ind w:left="0" w:firstLine="567"/>
        <w:rPr>
          <w:sz w:val="22"/>
          <w:szCs w:val="22"/>
        </w:rPr>
      </w:pPr>
      <w:r>
        <w:rPr>
          <w:rFonts w:ascii="Calibri" w:hAnsi="Calibri"/>
          <w:sz w:val="22"/>
          <w:szCs w:val="22"/>
          <w:shd w:fill="auto" w:val="clear"/>
        </w:rPr>
        <w:t xml:space="preserve">Os preços inicialmente contratados são fixos e irreajustáveis no prazo de um ano contado da data do orçamento estimado, em </w:t>
      </w:r>
      <w:r>
        <w:rPr>
          <w:rFonts w:ascii="Calibri" w:hAnsi="Calibri"/>
          <w:i/>
          <w:iCs/>
          <w:color w:val="FF0000"/>
          <w:sz w:val="22"/>
          <w:szCs w:val="22"/>
          <w:shd w:fill="auto" w:val="clear"/>
        </w:rPr>
        <w:t>__/__/__ (DD/MM/AAAA)</w:t>
      </w:r>
      <w:r>
        <w:rPr>
          <w:rFonts w:ascii="Calibri" w:hAnsi="Calibri"/>
          <w:sz w:val="22"/>
          <w:szCs w:val="22"/>
          <w:shd w:fill="auto" w:val="clear"/>
        </w:rPr>
        <w:t>.</w:t>
      </w:r>
    </w:p>
    <w:p>
      <w:pPr>
        <w:pStyle w:val="Nivel2"/>
        <w:numPr>
          <w:ilvl w:val="1"/>
          <w:numId w:val="177"/>
        </w:numPr>
        <w:spacing w:lineRule="auto" w:line="312" w:before="120" w:after="288"/>
        <w:ind w:left="0" w:firstLine="567"/>
        <w:rPr>
          <w:sz w:val="22"/>
          <w:szCs w:val="22"/>
        </w:rPr>
      </w:pPr>
      <w:commentRangeStart w:id="1"/>
      <w:r>
        <w:rPr>
          <w:rFonts w:ascii="Calibri" w:hAnsi="Calibri"/>
          <w:sz w:val="22"/>
          <w:szCs w:val="22"/>
          <w:shd w:fill="auto" w:val="clear"/>
        </w:rPr>
        <w:t>Após o interregno de um ano, e independentemente de pedido do contratado, os preços iniciais serão reajustados, mediante a aplicação, pelo contratante, do índice IPCA</w:t>
      </w:r>
      <w:r>
        <w:rPr>
          <w:rFonts w:ascii="Calibri" w:hAnsi="Calibri"/>
          <w:i/>
          <w:iCs/>
          <w:sz w:val="22"/>
          <w:szCs w:val="22"/>
          <w:shd w:fill="auto" w:val="clear"/>
        </w:rPr>
        <w:t>,</w:t>
      </w:r>
      <w:r>
        <w:rPr>
          <w:rFonts w:ascii="Calibri" w:hAnsi="Calibri"/>
          <w:sz w:val="22"/>
          <w:szCs w:val="22"/>
          <w:shd w:fill="auto" w:val="clear"/>
        </w:rPr>
        <w:t xml:space="preserve"> exclusivamente para as obrigações iniciadas e concluídas após a ocorrência da anualidade</w:t>
      </w:r>
      <w:r>
        <w:rPr>
          <w:rFonts w:ascii="Calibri" w:hAnsi="Calibri"/>
          <w:sz w:val="22"/>
          <w:szCs w:val="22"/>
          <w:shd w:fill="auto" w:val="clear"/>
        </w:rPr>
      </w:r>
      <w:commentRangeEnd w:id="1"/>
      <w:r>
        <w:commentReference w:id="1"/>
      </w:r>
      <w:r>
        <w:rPr>
          <w:rFonts w:ascii="Calibri" w:hAnsi="Calibri"/>
          <w:sz w:val="22"/>
          <w:szCs w:val="22"/>
          <w:shd w:fill="auto" w:val="clear"/>
        </w:rPr>
        <w:t>.</w:t>
      </w:r>
    </w:p>
    <w:p>
      <w:pPr>
        <w:pStyle w:val="Nivel2"/>
        <w:numPr>
          <w:ilvl w:val="1"/>
          <w:numId w:val="178"/>
        </w:numPr>
        <w:spacing w:lineRule="auto" w:line="312" w:before="120" w:after="288"/>
        <w:ind w:left="0" w:firstLine="567"/>
        <w:rPr>
          <w:sz w:val="22"/>
          <w:szCs w:val="22"/>
        </w:rPr>
      </w:pPr>
      <w:r>
        <w:rPr>
          <w:rFonts w:ascii="Calibri" w:hAnsi="Calibri"/>
          <w:sz w:val="22"/>
          <w:szCs w:val="22"/>
          <w:shd w:fill="auto" w:val="clear"/>
        </w:rPr>
        <w:t>Nos reajustes subsequentes ao primeiro, o interregno mínimo de um ano será contado a partir dos efeitos financeiros do último reajuste.</w:t>
      </w:r>
    </w:p>
    <w:p>
      <w:pPr>
        <w:pStyle w:val="Nivel2"/>
        <w:numPr>
          <w:ilvl w:val="1"/>
          <w:numId w:val="179"/>
        </w:numPr>
        <w:spacing w:lineRule="auto" w:line="312" w:before="120" w:after="288"/>
        <w:ind w:left="0" w:firstLine="567"/>
        <w:rPr>
          <w:sz w:val="22"/>
          <w:szCs w:val="22"/>
        </w:rPr>
      </w:pPr>
      <w:r>
        <w:rPr>
          <w:rFonts w:ascii="Calibri" w:hAnsi="Calibri"/>
          <w:sz w:val="22"/>
          <w:szCs w:val="22"/>
          <w:shd w:fill="auto" w:val="clea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80"/>
        </w:numPr>
        <w:spacing w:lineRule="auto" w:line="312" w:before="120" w:after="288"/>
        <w:ind w:left="0" w:firstLine="567"/>
        <w:rPr>
          <w:sz w:val="22"/>
          <w:szCs w:val="22"/>
        </w:rPr>
      </w:pPr>
      <w:r>
        <w:rPr>
          <w:rFonts w:ascii="Calibri" w:hAnsi="Calibri"/>
          <w:sz w:val="22"/>
          <w:szCs w:val="22"/>
          <w:shd w:fill="auto" w:val="clear"/>
        </w:rPr>
        <w:t>Nas aferições finais, o(s) índice(s) utilizado(s) para reajuste será(ão), obrigatoriamente, o(s) definitivo(s).</w:t>
      </w:r>
    </w:p>
    <w:p>
      <w:pPr>
        <w:pStyle w:val="Nivel2"/>
        <w:numPr>
          <w:ilvl w:val="1"/>
          <w:numId w:val="181"/>
        </w:numPr>
        <w:spacing w:lineRule="auto" w:line="312" w:before="120" w:after="288"/>
        <w:ind w:left="0" w:firstLine="567"/>
        <w:rPr>
          <w:sz w:val="22"/>
          <w:szCs w:val="22"/>
        </w:rPr>
      </w:pPr>
      <w:r>
        <w:rPr>
          <w:rFonts w:ascii="Calibri" w:hAnsi="Calibri"/>
          <w:sz w:val="22"/>
          <w:szCs w:val="22"/>
          <w:shd w:fill="auto" w:val="clea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82"/>
        </w:numPr>
        <w:spacing w:lineRule="auto" w:line="312" w:before="120" w:after="288"/>
        <w:ind w:left="0" w:firstLine="567"/>
        <w:rPr>
          <w:sz w:val="22"/>
          <w:szCs w:val="22"/>
        </w:rPr>
      </w:pPr>
      <w:r>
        <w:rPr>
          <w:rFonts w:ascii="Calibri" w:hAnsi="Calibri"/>
          <w:sz w:val="22"/>
          <w:szCs w:val="22"/>
          <w:shd w:fill="auto" w:val="clear"/>
        </w:rPr>
        <w:t xml:space="preserve">Na ausência de previsão legal quanto ao índice substituto, as partes elegerão novo índice oficial, para reajustamento do preço do valor remanescente, por meio de termo aditivo. </w:t>
      </w:r>
    </w:p>
    <w:p>
      <w:pPr>
        <w:pStyle w:val="Nivel2"/>
        <w:numPr>
          <w:ilvl w:val="1"/>
          <w:numId w:val="183"/>
        </w:numPr>
        <w:spacing w:lineRule="auto" w:line="312" w:before="120" w:after="288"/>
        <w:ind w:left="0" w:firstLine="567"/>
        <w:rPr>
          <w:sz w:val="22"/>
          <w:szCs w:val="22"/>
        </w:rPr>
      </w:pPr>
      <w:r>
        <w:rPr>
          <w:rFonts w:ascii="Calibri" w:hAnsi="Calibri"/>
          <w:sz w:val="22"/>
          <w:szCs w:val="22"/>
          <w:shd w:fill="auto" w:val="clear"/>
        </w:rPr>
        <w:t>O reajuste será realizado por apostilamento.</w:t>
      </w:r>
    </w:p>
    <w:p>
      <w:pPr>
        <w:pStyle w:val="Nivel01"/>
        <w:numPr>
          <w:ilvl w:val="0"/>
          <w:numId w:val="184"/>
        </w:numPr>
        <w:spacing w:lineRule="auto" w:line="312" w:before="120" w:after="288"/>
        <w:ind w:left="0" w:hanging="0"/>
        <w:rPr/>
      </w:pPr>
      <w:r>
        <w:rPr>
          <w:rFonts w:ascii="Calibri" w:hAnsi="Calibri"/>
          <w:sz w:val="22"/>
          <w:szCs w:val="22"/>
          <w:shd w:fill="auto" w:val="clear"/>
        </w:rPr>
        <w:t xml:space="preserve">CLÁUSULA OITAVA - OBRIGAÇÕES DO CONTRATANTE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commentRangeStart w:id="2"/>
      <w:r>
        <w:rPr>
          <w:rStyle w:val="LinkdaInternet"/>
          <w:rFonts w:ascii="Calibri" w:hAnsi="Calibri"/>
          <w:sz w:val="22"/>
          <w:szCs w:val="22"/>
        </w:rPr>
        <w:t>(art. 92, X, XI e XIV</w:t>
      </w:r>
      <w:r>
        <w:rPr>
          <w:rStyle w:val="LinkdaInternet"/>
          <w:sz w:val="22"/>
          <w:szCs w:val="22"/>
          <w:rFonts w:ascii="Calibri" w:hAnsi="Calibri"/>
        </w:rPr>
        <w:fldChar w:fldCharType="end"/>
      </w:r>
      <w:r>
        <w:rPr>
          <w:rStyle w:val="LinkdaInternet"/>
          <w:rFonts w:ascii="Calibri" w:hAnsi="Calibri"/>
          <w:sz w:val="22"/>
          <w:szCs w:val="22"/>
        </w:rPr>
      </w:r>
      <w:commentRangeEnd w:id="2"/>
      <w:r>
        <w:commentReference w:id="2"/>
      </w:r>
      <w:r>
        <w:rPr>
          <w:rFonts w:ascii="Calibri" w:hAnsi="Calibri"/>
          <w:sz w:val="22"/>
          <w:szCs w:val="22"/>
          <w:shd w:fill="auto" w:val="clear"/>
        </w:rPr>
        <w:t>)</w:t>
      </w:r>
    </w:p>
    <w:p>
      <w:pPr>
        <w:pStyle w:val="Nivel2"/>
        <w:numPr>
          <w:ilvl w:val="1"/>
          <w:numId w:val="185"/>
        </w:numPr>
        <w:spacing w:lineRule="auto" w:line="312" w:before="120" w:after="288"/>
        <w:ind w:left="0" w:firstLine="567"/>
        <w:rPr>
          <w:sz w:val="22"/>
          <w:szCs w:val="22"/>
        </w:rPr>
      </w:pPr>
      <w:r>
        <w:rPr>
          <w:rFonts w:ascii="Calibri" w:hAnsi="Calibri"/>
          <w:sz w:val="22"/>
          <w:szCs w:val="22"/>
          <w:shd w:fill="auto" w:val="clear"/>
        </w:rPr>
        <w:t>São obrigações do Contratante:</w:t>
      </w:r>
    </w:p>
    <w:p>
      <w:pPr>
        <w:pStyle w:val="Nivel2"/>
        <w:numPr>
          <w:ilvl w:val="1"/>
          <w:numId w:val="186"/>
        </w:numPr>
        <w:spacing w:lineRule="auto" w:line="312" w:before="120" w:after="288"/>
        <w:ind w:left="0" w:firstLine="567"/>
        <w:rPr>
          <w:sz w:val="22"/>
          <w:szCs w:val="22"/>
        </w:rPr>
      </w:pPr>
      <w:r>
        <w:rPr>
          <w:rFonts w:ascii="Calibri" w:hAnsi="Calibri"/>
          <w:sz w:val="22"/>
          <w:szCs w:val="22"/>
          <w:shd w:fill="auto" w:val="clear"/>
        </w:rPr>
        <w:t>Exigir o cumprimento de todas as obrigações assumidas pelo Contratado, de acordo com o contrato e seus anexos;</w:t>
      </w:r>
    </w:p>
    <w:p>
      <w:pPr>
        <w:pStyle w:val="Nivel2"/>
        <w:numPr>
          <w:ilvl w:val="1"/>
          <w:numId w:val="187"/>
        </w:numPr>
        <w:spacing w:lineRule="auto" w:line="312" w:before="120" w:after="288"/>
        <w:ind w:left="0" w:firstLine="567"/>
        <w:rPr>
          <w:sz w:val="22"/>
          <w:szCs w:val="22"/>
        </w:rPr>
      </w:pPr>
      <w:r>
        <w:rPr>
          <w:rFonts w:ascii="Calibri" w:hAnsi="Calibri"/>
          <w:sz w:val="22"/>
          <w:szCs w:val="22"/>
          <w:shd w:fill="auto" w:val="clear"/>
        </w:rPr>
        <w:t>Receber o objeto no prazo e condições estabelecidas no Termo de Referência;</w:t>
      </w:r>
    </w:p>
    <w:p>
      <w:pPr>
        <w:pStyle w:val="Nivel2"/>
        <w:numPr>
          <w:ilvl w:val="1"/>
          <w:numId w:val="188"/>
        </w:numPr>
        <w:spacing w:lineRule="auto" w:line="312" w:before="120" w:after="288"/>
        <w:ind w:left="0" w:firstLine="567"/>
        <w:rPr>
          <w:sz w:val="22"/>
          <w:szCs w:val="22"/>
        </w:rPr>
      </w:pPr>
      <w:r>
        <w:rPr>
          <w:rFonts w:ascii="Calibri" w:hAnsi="Calibri"/>
          <w:sz w:val="22"/>
          <w:szCs w:val="22"/>
          <w:shd w:fill="auto" w:val="clear"/>
        </w:rPr>
        <w:t>Notificar o Contratado, por escrito, sobre vícios, defeitos ou incorreções verificadas no objeto fornecido, para que seja por ele substituído, reparado ou corrigido, no total ou em parte, às suas expensas;</w:t>
      </w:r>
    </w:p>
    <w:p>
      <w:pPr>
        <w:pStyle w:val="Nivel2"/>
        <w:numPr>
          <w:ilvl w:val="1"/>
          <w:numId w:val="189"/>
        </w:numPr>
        <w:spacing w:lineRule="auto" w:line="312" w:before="120" w:after="288"/>
        <w:ind w:left="0" w:firstLine="567"/>
        <w:rPr>
          <w:sz w:val="22"/>
          <w:szCs w:val="22"/>
        </w:rPr>
      </w:pPr>
      <w:r>
        <w:rPr>
          <w:rFonts w:ascii="Calibri" w:hAnsi="Calibri"/>
          <w:sz w:val="22"/>
          <w:szCs w:val="22"/>
          <w:shd w:fill="auto" w:val="clear"/>
        </w:rPr>
        <w:t>Acompanhar e fiscalizar a execução do contrato e o cumprimento das obrigações pelo Contratado;</w:t>
      </w:r>
    </w:p>
    <w:p>
      <w:pPr>
        <w:pStyle w:val="Nivel2"/>
        <w:numPr>
          <w:ilvl w:val="1"/>
          <w:numId w:val="190"/>
        </w:numPr>
        <w:spacing w:lineRule="auto" w:line="312" w:before="120" w:after="288"/>
        <w:ind w:left="0" w:firstLine="567"/>
        <w:rPr>
          <w:sz w:val="22"/>
          <w:szCs w:val="22"/>
        </w:rPr>
      </w:pPr>
      <w:r>
        <w:rPr>
          <w:rFonts w:ascii="Calibri" w:hAnsi="Calibri"/>
          <w:sz w:val="22"/>
          <w:szCs w:val="22"/>
          <w:shd w:fill="auto" w:val="clea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91"/>
        </w:numPr>
        <w:spacing w:lineRule="auto" w:line="312" w:before="120" w:after="288"/>
        <w:ind w:left="0" w:firstLine="567"/>
        <w:rPr>
          <w:sz w:val="22"/>
          <w:szCs w:val="22"/>
        </w:rPr>
      </w:pPr>
      <w:r>
        <w:rPr>
          <w:rFonts w:ascii="Calibri" w:hAnsi="Calibri"/>
          <w:sz w:val="22"/>
          <w:szCs w:val="22"/>
          <w:shd w:fill="auto" w:val="clear"/>
        </w:rPr>
        <w:t>Efetuar o pagamento ao Contratado do valor correspondente à execução do objeto, no prazo, forma e condições estabelecidos no presente Contrato e no Termo de Referência;</w:t>
      </w:r>
    </w:p>
    <w:p>
      <w:pPr>
        <w:pStyle w:val="Nivel2"/>
        <w:numPr>
          <w:ilvl w:val="1"/>
          <w:numId w:val="192"/>
        </w:numPr>
        <w:spacing w:lineRule="auto" w:line="312" w:before="120" w:after="288"/>
        <w:ind w:left="0" w:firstLine="567"/>
        <w:rPr>
          <w:sz w:val="22"/>
          <w:szCs w:val="22"/>
        </w:rPr>
      </w:pPr>
      <w:r>
        <w:rPr>
          <w:rFonts w:ascii="Calibri" w:hAnsi="Calibri"/>
          <w:sz w:val="22"/>
          <w:szCs w:val="22"/>
          <w:shd w:fill="auto" w:val="clear"/>
        </w:rPr>
        <w:t xml:space="preserve">Aplicar ao Contratado as sanções previstas na lei e neste Contrato; </w:t>
      </w:r>
    </w:p>
    <w:p>
      <w:pPr>
        <w:pStyle w:val="Nivel2"/>
        <w:numPr>
          <w:ilvl w:val="1"/>
          <w:numId w:val="193"/>
        </w:numPr>
        <w:spacing w:lineRule="auto" w:line="312" w:before="120" w:after="288"/>
        <w:ind w:left="0" w:firstLine="567"/>
        <w:rPr>
          <w:sz w:val="22"/>
          <w:szCs w:val="22"/>
        </w:rPr>
      </w:pPr>
      <w:r>
        <w:rPr>
          <w:rFonts w:ascii="Calibri" w:hAnsi="Calibri"/>
          <w:sz w:val="22"/>
          <w:szCs w:val="22"/>
          <w:shd w:fill="auto" w:val="clear"/>
        </w:rPr>
        <w:t>Cientificar o órgão de representação judicial da Advocacia-Geral da União para adoção das medidas cabíveis quando do descumprimento de obrigações pelo Contratado;</w:t>
      </w:r>
    </w:p>
    <w:p>
      <w:pPr>
        <w:pStyle w:val="Nivel2"/>
        <w:numPr>
          <w:ilvl w:val="1"/>
          <w:numId w:val="194"/>
        </w:numPr>
        <w:spacing w:lineRule="auto" w:line="312" w:before="120" w:after="288"/>
        <w:ind w:left="0" w:firstLine="567"/>
        <w:rPr>
          <w:sz w:val="22"/>
          <w:szCs w:val="22"/>
        </w:rPr>
      </w:pPr>
      <w:r>
        <w:rPr>
          <w:rFonts w:ascii="Calibri" w:hAnsi="Calibri"/>
          <w:sz w:val="22"/>
          <w:szCs w:val="22"/>
          <w:shd w:fill="auto" w:val="clea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95"/>
        </w:numPr>
        <w:spacing w:lineRule="auto" w:line="312" w:before="120" w:after="288"/>
        <w:ind w:left="170" w:firstLine="709"/>
        <w:rPr>
          <w:sz w:val="22"/>
          <w:szCs w:val="22"/>
        </w:rPr>
      </w:pPr>
      <w:r>
        <w:rPr>
          <w:rFonts w:ascii="Calibri" w:hAnsi="Calibri"/>
          <w:sz w:val="22"/>
          <w:szCs w:val="22"/>
          <w:shd w:fill="auto" w:val="clear"/>
        </w:rPr>
        <w:t xml:space="preserve"> </w:t>
      </w:r>
      <w:r>
        <w:rPr>
          <w:rFonts w:ascii="Calibri" w:hAnsi="Calibri"/>
          <w:sz w:val="22"/>
          <w:szCs w:val="22"/>
          <w:shd w:fill="auto" w:val="clear"/>
        </w:rPr>
        <w:t>A Administração terá o pra</w:t>
      </w:r>
      <w:r>
        <w:rPr>
          <w:rFonts w:ascii="Calibri" w:hAnsi="Calibri"/>
          <w:color w:val="000000"/>
          <w:sz w:val="22"/>
          <w:szCs w:val="22"/>
          <w:shd w:fill="auto" w:val="clear"/>
        </w:rPr>
        <w:t>zo de</w:t>
      </w:r>
      <w:r>
        <w:rPr>
          <w:rFonts w:ascii="Calibri" w:hAnsi="Calibri"/>
          <w:i/>
          <w:iCs/>
          <w:color w:val="000000"/>
          <w:sz w:val="22"/>
          <w:szCs w:val="22"/>
          <w:shd w:fill="auto" w:val="clear"/>
        </w:rPr>
        <w:t xml:space="preserve"> 30 (trinta) dias</w:t>
      </w:r>
      <w:r>
        <w:rPr>
          <w:rFonts w:ascii="Calibri" w:hAnsi="Calibri"/>
          <w:color w:val="000000"/>
          <w:sz w:val="22"/>
          <w:szCs w:val="22"/>
          <w:shd w:fill="auto" w:val="clear"/>
        </w:rPr>
        <w:t xml:space="preserve">, a contar da data do protocolo do requerimento para decidir, admitida a prorrogação motivada, por igual período. </w:t>
      </w:r>
    </w:p>
    <w:p>
      <w:pPr>
        <w:pStyle w:val="Nivel2"/>
        <w:numPr>
          <w:ilvl w:val="1"/>
          <w:numId w:val="196"/>
        </w:numPr>
        <w:spacing w:lineRule="auto" w:line="312" w:before="120" w:after="288"/>
        <w:ind w:left="0" w:firstLine="567"/>
        <w:rPr>
          <w:color w:val="000000"/>
        </w:rPr>
      </w:pPr>
      <w:r>
        <w:rPr>
          <w:rFonts w:ascii="Calibri" w:hAnsi="Calibri"/>
          <w:color w:val="000000"/>
          <w:sz w:val="22"/>
          <w:szCs w:val="22"/>
          <w:shd w:fill="auto" w:val="clear"/>
        </w:rPr>
        <w:t xml:space="preserve">Responder eventuais pedidos de reestabelecimento do equilíbrio econômico-financeiro feitos pelo contratado no prazo máximo de  </w:t>
      </w:r>
      <w:r>
        <w:rPr>
          <w:rFonts w:ascii="Calibri" w:hAnsi="Calibri"/>
          <w:i/>
          <w:iCs/>
          <w:color w:val="000000"/>
          <w:sz w:val="22"/>
          <w:szCs w:val="22"/>
          <w:shd w:fill="auto" w:val="clear"/>
        </w:rPr>
        <w:t>30 (trinta) dias.</w:t>
      </w:r>
    </w:p>
    <w:p>
      <w:pPr>
        <w:pStyle w:val="Nivel2"/>
        <w:numPr>
          <w:ilvl w:val="1"/>
          <w:numId w:val="197"/>
        </w:numPr>
        <w:spacing w:lineRule="auto" w:line="312" w:before="120" w:after="288"/>
        <w:ind w:left="0" w:firstLine="567"/>
        <w:rPr/>
      </w:pPr>
      <w:r>
        <w:rPr>
          <w:rFonts w:ascii="Calibri" w:hAnsi="Calibri"/>
          <w:sz w:val="22"/>
          <w:szCs w:val="22"/>
          <w:shd w:fill="auto" w:val="clear"/>
        </w:rPr>
        <w:t xml:space="preserve">Comunicar o Contratado na hipótese de posterior alteração do projeto pelo Contratante, no caso </w:t>
      </w:r>
      <w:r>
        <w:fldChar w:fldCharType="begin"/>
      </w:r>
      <w:r>
        <w:rPr>
          <w:rStyle w:val="LinkdaInternet"/>
          <w:sz w:val="22"/>
          <w:szCs w:val="22"/>
          <w:rFonts w:ascii="Calibri" w:hAnsi="Calibri"/>
        </w:rPr>
        <w:instrText> HYPERLINK "http://www.planalto.gov.br/ccivil_03/_ato2019-2022/2021/lei/L14133.htm" \l "art93§2"</w:instrText>
      </w:r>
      <w:r>
        <w:rPr>
          <w:rStyle w:val="LinkdaInternet"/>
          <w:sz w:val="22"/>
          <w:szCs w:val="22"/>
          <w:rFonts w:ascii="Calibri" w:hAnsi="Calibri"/>
        </w:rPr>
        <w:fldChar w:fldCharType="separate"/>
      </w:r>
      <w:r>
        <w:rPr>
          <w:rStyle w:val="LinkdaInternet"/>
          <w:rFonts w:ascii="Calibri" w:hAnsi="Calibri"/>
          <w:sz w:val="22"/>
          <w:szCs w:val="22"/>
        </w:rPr>
        <w:t>do art. 93, §2º,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198"/>
        </w:numPr>
        <w:spacing w:lineRule="auto" w:line="312" w:before="120" w:after="288"/>
        <w:ind w:left="0" w:firstLine="567"/>
        <w:rPr>
          <w:sz w:val="22"/>
          <w:szCs w:val="22"/>
        </w:rPr>
      </w:pPr>
      <w:r>
        <w:rPr>
          <w:rFonts w:ascii="Calibri" w:hAnsi="Calibri"/>
          <w:sz w:val="22"/>
          <w:szCs w:val="22"/>
          <w:shd w:fill="auto" w:val="clea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99"/>
        </w:numPr>
        <w:spacing w:lineRule="auto" w:line="312" w:before="120" w:after="288"/>
        <w:ind w:left="0" w:hanging="0"/>
        <w:rPr/>
      </w:pPr>
      <w:commentRangeStart w:id="3"/>
      <w:r>
        <w:rPr>
          <w:rFonts w:ascii="Calibri" w:hAnsi="Calibri"/>
          <w:sz w:val="22"/>
          <w:szCs w:val="22"/>
          <w:shd w:fill="auto" w:val="clear"/>
        </w:rPr>
        <w:t>CLÁUSULA NONA - OBRIGAÇÕES DO CONTRATADO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XIV, XVI e XVII</w:t>
      </w:r>
      <w:r>
        <w:rPr>
          <w:rStyle w:val="LinkdaInternet"/>
          <w:sz w:val="22"/>
          <w:szCs w:val="22"/>
          <w:rFonts w:ascii="Calibri" w:hAnsi="Calibri"/>
        </w:rPr>
        <w:fldChar w:fldCharType="end"/>
      </w:r>
      <w:r>
        <w:rPr>
          <w:rFonts w:ascii="Calibri" w:hAnsi="Calibri"/>
          <w:sz w:val="22"/>
          <w:szCs w:val="22"/>
          <w:shd w:fill="auto" w:val="clear"/>
        </w:rPr>
        <w:t>)</w:t>
      </w:r>
      <w:commentRangeEnd w:id="3"/>
      <w:r>
        <w:commentReference w:id="3"/>
      </w:r>
      <w:r>
        <w:rPr>
          <w:rFonts w:ascii="Calibri" w:hAnsi="Calibri"/>
          <w:sz w:val="22"/>
          <w:szCs w:val="22"/>
          <w:shd w:fill="auto" w:val="clear"/>
        </w:rPr>
      </w:r>
    </w:p>
    <w:p>
      <w:pPr>
        <w:pStyle w:val="Nivel2"/>
        <w:numPr>
          <w:ilvl w:val="1"/>
          <w:numId w:val="200"/>
        </w:numPr>
        <w:spacing w:lineRule="auto" w:line="312" w:before="120" w:after="288"/>
        <w:ind w:left="0" w:firstLine="709"/>
        <w:rPr>
          <w:sz w:val="22"/>
          <w:szCs w:val="22"/>
        </w:rPr>
      </w:pPr>
      <w:r>
        <w:rPr>
          <w:rFonts w:ascii="Calibri" w:hAnsi="Calibri"/>
          <w:sz w:val="22"/>
          <w:szCs w:val="22"/>
          <w:shd w:fill="auto" w:val="clea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201"/>
        </w:numPr>
        <w:spacing w:lineRule="auto" w:line="312" w:before="120" w:after="288"/>
        <w:ind w:left="0" w:firstLine="709"/>
        <w:rPr>
          <w:sz w:val="22"/>
          <w:szCs w:val="22"/>
        </w:rPr>
      </w:pPr>
      <w:r>
        <w:rPr>
          <w:rFonts w:ascii="Calibri" w:hAnsi="Calibri"/>
          <w:sz w:val="22"/>
          <w:szCs w:val="22"/>
          <w:shd w:fill="auto" w:val="clear"/>
        </w:rPr>
        <w:t>Manter preposto aceito pela Administração no local do serviço para representá-lo na execução do contrato.</w:t>
      </w:r>
    </w:p>
    <w:p>
      <w:pPr>
        <w:pStyle w:val="Nivel3"/>
        <w:numPr>
          <w:ilvl w:val="2"/>
          <w:numId w:val="202"/>
        </w:numPr>
        <w:spacing w:lineRule="auto" w:line="312" w:before="120" w:after="288"/>
        <w:ind w:left="170" w:firstLine="709"/>
        <w:rPr>
          <w:sz w:val="22"/>
          <w:szCs w:val="22"/>
        </w:rPr>
      </w:pPr>
      <w:r>
        <w:rPr>
          <w:rFonts w:ascii="Calibri" w:hAnsi="Calibri"/>
          <w:sz w:val="22"/>
          <w:szCs w:val="22"/>
          <w:shd w:fill="auto" w:val="clear"/>
        </w:rPr>
        <w:t>A indicação ou a manutenção do preposto da empresa poderá ser recusada pelo órgão ou entidade, desde que devidamente justificada, devendo a empresa designar outro para o exercício da atividade.</w:t>
      </w:r>
    </w:p>
    <w:p>
      <w:pPr>
        <w:pStyle w:val="Nivel2"/>
        <w:numPr>
          <w:ilvl w:val="1"/>
          <w:numId w:val="203"/>
        </w:numPr>
        <w:spacing w:lineRule="auto" w:line="312" w:before="120" w:after="288"/>
        <w:ind w:left="0" w:firstLine="567"/>
        <w:rPr/>
      </w:pPr>
      <w:r>
        <w:rPr>
          <w:rFonts w:ascii="Calibri" w:hAnsi="Calibri"/>
          <w:sz w:val="22"/>
          <w:szCs w:val="22"/>
          <w:shd w:fill="auto" w:val="clear"/>
        </w:rPr>
        <w:t>Atender às determinações regulares emitidas pelo fiscal do contrato ou autoridade superior (</w:t>
      </w:r>
      <w:r>
        <w:fldChar w:fldCharType="begin"/>
      </w:r>
      <w:r>
        <w:rPr>
          <w:rStyle w:val="LinkdaInternet"/>
          <w:sz w:val="22"/>
          <w:szCs w:val="22"/>
          <w:rFonts w:ascii="Calibri" w:hAnsi="Calibri"/>
        </w:rPr>
        <w:instrText> HYPERLINK "http://www.planalto.gov.br/ccivil_03/_ato2019-2022/2021/lei/L14133.htm" \l "art137"</w:instrText>
      </w:r>
      <w:r>
        <w:rPr>
          <w:rStyle w:val="LinkdaInternet"/>
          <w:sz w:val="22"/>
          <w:szCs w:val="22"/>
          <w:rFonts w:ascii="Calibri" w:hAnsi="Calibri"/>
        </w:rPr>
        <w:fldChar w:fldCharType="separate"/>
      </w:r>
      <w:r>
        <w:rPr>
          <w:rStyle w:val="LinkdaInternet"/>
          <w:rFonts w:ascii="Calibri" w:hAnsi="Calibri"/>
          <w:sz w:val="22"/>
          <w:szCs w:val="22"/>
        </w:rPr>
        <w:t>art. 137, II</w:t>
      </w:r>
      <w:r>
        <w:rPr>
          <w:rStyle w:val="LinkdaInternet"/>
          <w:sz w:val="22"/>
          <w:szCs w:val="22"/>
          <w:rFonts w:ascii="Calibri" w:hAnsi="Calibri"/>
        </w:rPr>
        <w:fldChar w:fldCharType="end"/>
      </w:r>
      <w:r>
        <w:rPr>
          <w:rFonts w:ascii="Calibri" w:hAnsi="Calibri"/>
          <w:sz w:val="22"/>
          <w:szCs w:val="22"/>
          <w:shd w:fill="auto" w:val="clear"/>
        </w:rPr>
        <w:t xml:space="preserve">) </w:t>
      </w:r>
      <w:r>
        <w:rPr>
          <w:rFonts w:ascii="Calibri" w:hAnsi="Calibri"/>
          <w:color w:val="000000" w:themeColor="text1"/>
          <w:sz w:val="22"/>
          <w:szCs w:val="22"/>
          <w:shd w:fill="auto" w:val="clear"/>
        </w:rPr>
        <w:t xml:space="preserve">e </w:t>
      </w:r>
      <w:r>
        <w:rPr>
          <w:rFonts w:ascii="Calibri" w:hAnsi="Calibri"/>
          <w:sz w:val="22"/>
          <w:szCs w:val="22"/>
          <w:shd w:fill="auto" w:val="clear"/>
        </w:rPr>
        <w:t>prestar todo esclarecimento ou informação por eles solicitados</w:t>
      </w:r>
      <w:r>
        <w:rPr>
          <w:rFonts w:ascii="Calibri" w:hAnsi="Calibri"/>
          <w:color w:val="000000" w:themeColor="text1"/>
          <w:sz w:val="22"/>
          <w:szCs w:val="22"/>
          <w:shd w:fill="auto" w:val="clear"/>
        </w:rPr>
        <w:t>;</w:t>
      </w:r>
    </w:p>
    <w:p>
      <w:pPr>
        <w:pStyle w:val="Nivel2"/>
        <w:numPr>
          <w:ilvl w:val="1"/>
          <w:numId w:val="204"/>
        </w:numPr>
        <w:spacing w:lineRule="auto" w:line="312" w:before="120" w:after="288"/>
        <w:ind w:left="0" w:firstLine="567"/>
        <w:rPr>
          <w:sz w:val="22"/>
          <w:szCs w:val="22"/>
        </w:rPr>
      </w:pPr>
      <w:r>
        <w:rPr>
          <w:rFonts w:ascii="Calibri" w:hAnsi="Calibri"/>
          <w:sz w:val="22"/>
          <w:szCs w:val="22"/>
          <w:shd w:fill="auto" w:val="clea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205"/>
        </w:numPr>
        <w:spacing w:lineRule="auto" w:line="312" w:before="120" w:after="288"/>
        <w:ind w:left="0" w:firstLine="567"/>
        <w:rPr>
          <w:sz w:val="22"/>
          <w:szCs w:val="22"/>
        </w:rPr>
      </w:pPr>
      <w:commentRangeStart w:id="4"/>
      <w:r>
        <w:rPr>
          <w:rFonts w:ascii="Calibri" w:hAnsi="Calibri"/>
          <w:sz w:val="22"/>
          <w:szCs w:val="22"/>
          <w:shd w:fill="auto" w:val="clear"/>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4"/>
      <w:r>
        <w:commentReference w:id="4"/>
      </w:r>
      <w:r>
        <w:rPr>
          <w:rFonts w:ascii="Calibri" w:hAnsi="Calibri"/>
          <w:sz w:val="22"/>
          <w:szCs w:val="22"/>
          <w:shd w:fill="auto" w:val="clear"/>
        </w:rPr>
      </w:r>
    </w:p>
    <w:p>
      <w:pPr>
        <w:pStyle w:val="Nivel2"/>
        <w:numPr>
          <w:ilvl w:val="1"/>
          <w:numId w:val="206"/>
        </w:numPr>
        <w:spacing w:lineRule="auto" w:line="312" w:before="120" w:after="288"/>
        <w:ind w:left="0" w:firstLine="567"/>
        <w:rPr/>
      </w:pPr>
      <w:r>
        <w:rPr>
          <w:rFonts w:ascii="Calibri" w:hAnsi="Calibri"/>
          <w:sz w:val="22"/>
          <w:szCs w:val="22"/>
          <w:shd w:fill="auto" w:val="clear"/>
        </w:rPr>
        <w:t xml:space="preserve">Responsabilizar-se pelos vícios e danos decorrentes da execução do objeto, de acordo com o </w:t>
      </w:r>
      <w:hyperlink r:id="rId3">
        <w:r>
          <w:rPr>
            <w:rStyle w:val="LinkdaInternet"/>
            <w:rFonts w:ascii="Calibri" w:hAnsi="Calibri"/>
            <w:sz w:val="22"/>
            <w:szCs w:val="22"/>
          </w:rPr>
          <w:t>Código de Defesa do Consumidor (Lei nº 8.078, de 1990</w:t>
        </w:r>
      </w:hyperlink>
      <w:r>
        <w:rPr>
          <w:rFonts w:ascii="Calibri" w:hAnsi="Calibri"/>
          <w:sz w:val="22"/>
          <w:szCs w:val="22"/>
          <w:shd w:fill="auto" w:val="clea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207"/>
        </w:numPr>
        <w:spacing w:lineRule="auto" w:line="312" w:before="120" w:after="288"/>
        <w:ind w:left="0" w:firstLine="567"/>
        <w:rPr/>
      </w:pPr>
      <w:r>
        <w:rPr>
          <w:rFonts w:ascii="Calibri" w:hAnsi="Calibri"/>
          <w:sz w:val="22"/>
          <w:szCs w:val="22"/>
          <w:shd w:fill="auto" w:val="clea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2"/>
          <w:szCs w:val="22"/>
          <w:rFonts w:ascii="Calibri" w:hAnsi="Calibri"/>
        </w:rPr>
        <w:instrText> HYPERLINK "http://www.planalto.gov.br/ccivil_03/_ato2019-2022/2021/lei/L14133.htm" \l "art48"</w:instrText>
      </w:r>
      <w:r>
        <w:rPr>
          <w:rStyle w:val="LinkdaInternet"/>
          <w:sz w:val="22"/>
          <w:szCs w:val="22"/>
          <w:rFonts w:ascii="Calibri" w:hAnsi="Calibri"/>
        </w:rPr>
        <w:fldChar w:fldCharType="separate"/>
      </w:r>
      <w:r>
        <w:rPr>
          <w:rStyle w:val="LinkdaInternet"/>
          <w:rFonts w:ascii="Calibri" w:hAnsi="Calibri"/>
          <w:sz w:val="22"/>
          <w:szCs w:val="22"/>
        </w:rPr>
        <w:t>artigo 48, parágrafo único,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08"/>
        </w:numPr>
        <w:spacing w:lineRule="auto" w:line="312" w:before="120" w:after="288"/>
        <w:ind w:left="0" w:firstLine="567"/>
        <w:rPr>
          <w:sz w:val="22"/>
          <w:szCs w:val="22"/>
        </w:rPr>
      </w:pPr>
      <w:r>
        <w:rPr>
          <w:rFonts w:ascii="Calibri" w:hAnsi="Calibri"/>
          <w:color w:val="000000" w:themeColor="text1"/>
          <w:sz w:val="22"/>
          <w:szCs w:val="22"/>
          <w:shd w:fill="auto" w:val="clear"/>
        </w:rPr>
        <w:t>Q</w:t>
      </w:r>
      <w:commentRangeStart w:id="5"/>
      <w:r>
        <w:rPr>
          <w:rFonts w:ascii="Calibri" w:hAnsi="Calibri"/>
          <w:color w:val="000000" w:themeColor="text1"/>
          <w:sz w:val="22"/>
          <w:szCs w:val="22"/>
          <w:shd w:fill="auto" w:val="clear"/>
        </w:rPr>
        <w:t xml:space="preserve">uando não for possível a verificação da regularidade no Sistema de Cadastro </w:t>
      </w:r>
      <w:r>
        <w:rPr>
          <w:rFonts w:ascii="Calibri" w:hAnsi="Calibri"/>
          <w:sz w:val="22"/>
          <w:szCs w:val="22"/>
          <w:shd w:fill="auto" w:val="clea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5"/>
      <w:r>
        <w:commentReference w:id="5"/>
      </w:r>
      <w:r>
        <w:rPr>
          <w:rFonts w:ascii="Calibri" w:hAnsi="Calibri"/>
          <w:sz w:val="22"/>
          <w:szCs w:val="22"/>
          <w:shd w:fill="auto" w:val="clear"/>
        </w:rPr>
      </w:r>
    </w:p>
    <w:p>
      <w:pPr>
        <w:pStyle w:val="Nivel2"/>
        <w:numPr>
          <w:ilvl w:val="1"/>
          <w:numId w:val="209"/>
        </w:numPr>
        <w:spacing w:lineRule="auto" w:line="312" w:before="120" w:after="288"/>
        <w:ind w:left="0" w:firstLine="567"/>
        <w:rPr>
          <w:sz w:val="22"/>
          <w:szCs w:val="22"/>
        </w:rPr>
      </w:pPr>
      <w:r>
        <w:rPr>
          <w:rFonts w:ascii="Calibri" w:hAnsi="Calibri"/>
          <w:sz w:val="22"/>
          <w:szCs w:val="22"/>
          <w:shd w:fill="auto" w:val="clea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210"/>
        </w:numPr>
        <w:spacing w:lineRule="auto" w:line="312" w:before="120" w:after="288"/>
        <w:ind w:left="0" w:firstLine="567"/>
        <w:rPr>
          <w:sz w:val="22"/>
          <w:szCs w:val="22"/>
        </w:rPr>
      </w:pPr>
      <w:r>
        <w:rPr>
          <w:rFonts w:ascii="Calibri" w:hAnsi="Calibri"/>
          <w:sz w:val="22"/>
          <w:szCs w:val="22"/>
          <w:shd w:fill="auto" w:val="clear"/>
        </w:rPr>
        <w:t>Comunicar ao Fiscal do contrato, no prazo de 24 (vinte e quatro) horas, qualquer ocorrência anormal ou acidente que se verifique no local dos serviços.</w:t>
      </w:r>
    </w:p>
    <w:p>
      <w:pPr>
        <w:pStyle w:val="Nivel2"/>
        <w:numPr>
          <w:ilvl w:val="1"/>
          <w:numId w:val="211"/>
        </w:numPr>
        <w:spacing w:lineRule="auto" w:line="312" w:before="120" w:after="288"/>
        <w:ind w:left="0" w:firstLine="567"/>
        <w:rPr>
          <w:sz w:val="22"/>
          <w:szCs w:val="22"/>
        </w:rPr>
      </w:pPr>
      <w:r>
        <w:rPr>
          <w:rFonts w:ascii="Calibri" w:hAnsi="Calibri"/>
          <w:sz w:val="22"/>
          <w:szCs w:val="22"/>
          <w:shd w:fill="auto" w:val="clea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212"/>
        </w:numPr>
        <w:spacing w:lineRule="auto" w:line="312" w:before="120" w:after="288"/>
        <w:ind w:left="0" w:firstLine="567"/>
        <w:rPr>
          <w:sz w:val="22"/>
          <w:szCs w:val="22"/>
        </w:rPr>
      </w:pPr>
      <w:r>
        <w:rPr>
          <w:rFonts w:ascii="Calibri" w:hAnsi="Calibri"/>
          <w:sz w:val="22"/>
          <w:szCs w:val="22"/>
          <w:shd w:fill="auto" w:val="clear"/>
        </w:rPr>
        <w:t>Paralisar, por determinação do Contratante, qualquer atividade que não esteja sendo executada de acordo com a boa técnica ou que ponha em risco a segurança de pessoas ou bens de terceiros.</w:t>
      </w:r>
    </w:p>
    <w:p>
      <w:pPr>
        <w:pStyle w:val="Nivel2"/>
        <w:numPr>
          <w:ilvl w:val="1"/>
          <w:numId w:val="213"/>
        </w:numPr>
        <w:spacing w:lineRule="auto" w:line="312" w:before="120" w:after="288"/>
        <w:ind w:left="0" w:firstLine="567"/>
        <w:rPr>
          <w:sz w:val="22"/>
          <w:szCs w:val="22"/>
        </w:rPr>
      </w:pPr>
      <w:r>
        <w:rPr>
          <w:rFonts w:ascii="Calibri" w:hAnsi="Calibri"/>
          <w:sz w:val="22"/>
          <w:szCs w:val="22"/>
          <w:shd w:fill="auto" w:val="clear"/>
        </w:rPr>
        <w:t>Promover a guarda, manutenção e vigilância de materiais, ferramentas, e tudo o que for necessário à execução do objeto, durante a vigência do contrato.</w:t>
      </w:r>
    </w:p>
    <w:p>
      <w:pPr>
        <w:pStyle w:val="Nivel2"/>
        <w:numPr>
          <w:ilvl w:val="1"/>
          <w:numId w:val="214"/>
        </w:numPr>
        <w:spacing w:lineRule="auto" w:line="312" w:before="120" w:after="288"/>
        <w:ind w:left="0" w:firstLine="567"/>
        <w:rPr>
          <w:sz w:val="22"/>
          <w:szCs w:val="22"/>
        </w:rPr>
      </w:pPr>
      <w:r>
        <w:rPr>
          <w:rFonts w:ascii="Calibri" w:hAnsi="Calibri"/>
          <w:sz w:val="22"/>
          <w:szCs w:val="22"/>
          <w:shd w:fill="auto" w:val="clea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215"/>
        </w:numPr>
        <w:spacing w:lineRule="auto" w:line="312" w:before="120" w:after="288"/>
        <w:ind w:left="0" w:firstLine="567"/>
        <w:rPr>
          <w:sz w:val="22"/>
          <w:szCs w:val="22"/>
        </w:rPr>
      </w:pPr>
      <w:r>
        <w:rPr>
          <w:rFonts w:ascii="Calibri" w:hAnsi="Calibri"/>
          <w:sz w:val="22"/>
          <w:szCs w:val="22"/>
          <w:shd w:fill="auto" w:val="clear"/>
        </w:rPr>
        <w:t>Submeter previamente, por escrito, ao Contratante, para análise e aprovação, quaisquer mudanças nos métodos executivos que fujam às especificações do memorial descritivo ou instrumento congênere.</w:t>
      </w:r>
    </w:p>
    <w:p>
      <w:pPr>
        <w:pStyle w:val="Nivel2"/>
        <w:numPr>
          <w:ilvl w:val="1"/>
          <w:numId w:val="216"/>
        </w:numPr>
        <w:spacing w:lineRule="auto" w:line="312" w:before="120" w:after="288"/>
        <w:ind w:left="0" w:firstLine="567"/>
        <w:rPr>
          <w:sz w:val="22"/>
          <w:szCs w:val="22"/>
        </w:rPr>
      </w:pPr>
      <w:r>
        <w:rPr>
          <w:rFonts w:ascii="Calibri" w:hAnsi="Calibri"/>
          <w:sz w:val="22"/>
          <w:szCs w:val="22"/>
          <w:shd w:fill="auto" w:val="clea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17"/>
        </w:numPr>
        <w:spacing w:lineRule="auto" w:line="312" w:before="120" w:after="288"/>
        <w:ind w:left="0" w:firstLine="567"/>
        <w:rPr/>
      </w:pPr>
      <w:r>
        <w:rPr>
          <w:rFonts w:ascii="Calibri" w:hAnsi="Calibri"/>
          <w:sz w:val="22"/>
          <w:szCs w:val="22"/>
          <w:shd w:fill="auto" w:val="clear"/>
        </w:rPr>
        <w:t xml:space="preserve"> </w:t>
      </w:r>
      <w:r>
        <w:rPr>
          <w:rFonts w:ascii="Calibri" w:hAnsi="Calibri"/>
          <w:sz w:val="22"/>
          <w:szCs w:val="22"/>
          <w:shd w:fill="auto" w:val="clear"/>
        </w:rPr>
        <w:t xml:space="preserve">Manter durante toda a vigência do contrato, em compatibilidade com as obrigações assumidas, todas as condições exigidas para </w:t>
      </w:r>
      <w:r>
        <w:rPr>
          <w:rStyle w:val="Normaltextrun"/>
          <w:rFonts w:ascii="Calibri" w:hAnsi="Calibri"/>
          <w:sz w:val="22"/>
          <w:szCs w:val="22"/>
          <w:shd w:fill="auto" w:val="clear"/>
        </w:rPr>
        <w:t>qualificação na contratação direta;</w:t>
      </w:r>
      <w:bookmarkStart w:id="4" w:name="_Hlk133590515"/>
      <w:bookmarkEnd w:id="4"/>
    </w:p>
    <w:p>
      <w:pPr>
        <w:pStyle w:val="Nivel2"/>
        <w:numPr>
          <w:ilvl w:val="1"/>
          <w:numId w:val="218"/>
        </w:numPr>
        <w:spacing w:lineRule="auto" w:line="312" w:before="120" w:after="288"/>
        <w:ind w:left="0" w:firstLine="567"/>
        <w:rPr/>
      </w:pPr>
      <w:r>
        <w:rPr>
          <w:rFonts w:ascii="Calibri" w:hAnsi="Calibri"/>
          <w:sz w:val="22"/>
          <w:szCs w:val="22"/>
          <w:shd w:fill="auto" w:val="clea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2"/>
          <w:szCs w:val="22"/>
          <w:rFonts w:ascii="Calibri" w:hAnsi="Calibri"/>
        </w:rPr>
        <w:instrText> HYPERLINK "http://www.planalto.gov.br/ccivil_03/_ato2019-2022/2021/lei/L14133.htm" \l "art116"</w:instrText>
      </w:r>
      <w:r>
        <w:rPr>
          <w:rStyle w:val="LinkdaInternet"/>
          <w:sz w:val="22"/>
          <w:szCs w:val="22"/>
          <w:rFonts w:ascii="Calibri" w:hAnsi="Calibri"/>
        </w:rPr>
        <w:fldChar w:fldCharType="separate"/>
      </w:r>
      <w:r>
        <w:rPr>
          <w:rStyle w:val="LinkdaInternet"/>
          <w:rFonts w:ascii="Calibri" w:hAnsi="Calibri"/>
          <w:sz w:val="22"/>
          <w:szCs w:val="22"/>
        </w:rPr>
        <w:t>art. 116</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19"/>
        </w:numPr>
        <w:spacing w:lineRule="auto" w:line="312" w:before="120" w:after="288"/>
        <w:ind w:left="0" w:firstLine="567"/>
        <w:rPr/>
      </w:pPr>
      <w:r>
        <w:rPr>
          <w:rFonts w:ascii="Calibri" w:hAnsi="Calibri"/>
          <w:sz w:val="22"/>
          <w:szCs w:val="22"/>
          <w:shd w:fill="auto" w:val="clear"/>
        </w:rPr>
        <w:t>Comprovar a reserva de cargos a que se refere a cláusula acima, no prazo fixado pelo fiscal do contrato, com a indicação dos empregados que preencheram as referidas vagas (</w:t>
      </w:r>
      <w:r>
        <w:fldChar w:fldCharType="begin"/>
      </w:r>
      <w:r>
        <w:rPr>
          <w:rStyle w:val="LinkdaInternet"/>
          <w:sz w:val="22"/>
          <w:szCs w:val="22"/>
          <w:rFonts w:ascii="Calibri" w:hAnsi="Calibri"/>
        </w:rPr>
        <w:instrText> HYPERLINK "http://www.planalto.gov.br/ccivil_03/_ato2019-2022/2021/lei/L14133.htm" \l "art116"</w:instrText>
      </w:r>
      <w:r>
        <w:rPr>
          <w:rStyle w:val="LinkdaInternet"/>
          <w:sz w:val="22"/>
          <w:szCs w:val="22"/>
          <w:rFonts w:ascii="Calibri" w:hAnsi="Calibri"/>
        </w:rPr>
        <w:fldChar w:fldCharType="separate"/>
      </w:r>
      <w:r>
        <w:rPr>
          <w:rStyle w:val="LinkdaInternet"/>
          <w:rFonts w:ascii="Calibri" w:hAnsi="Calibri"/>
          <w:sz w:val="22"/>
          <w:szCs w:val="22"/>
        </w:rPr>
        <w:t>art. 116, parágrafo único</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20"/>
        </w:numPr>
        <w:spacing w:lineRule="auto" w:line="312" w:before="120" w:after="288"/>
        <w:ind w:left="0" w:firstLine="567"/>
        <w:rPr>
          <w:sz w:val="22"/>
          <w:szCs w:val="22"/>
        </w:rPr>
      </w:pPr>
      <w:r>
        <w:rPr>
          <w:rFonts w:ascii="Calibri" w:hAnsi="Calibri"/>
          <w:sz w:val="22"/>
          <w:szCs w:val="22"/>
          <w:shd w:fill="auto" w:val="clear"/>
        </w:rPr>
        <w:t>Guardar sigilo sobre todas as informações obtidas em decorrência do cumprimento do contrato;</w:t>
      </w:r>
    </w:p>
    <w:p>
      <w:pPr>
        <w:pStyle w:val="Nivel2"/>
        <w:numPr>
          <w:ilvl w:val="1"/>
          <w:numId w:val="221"/>
        </w:numPr>
        <w:spacing w:lineRule="auto" w:line="312" w:before="120" w:after="288"/>
        <w:ind w:left="0" w:firstLine="567"/>
        <w:rPr/>
      </w:pPr>
      <w:r>
        <w:rPr>
          <w:rFonts w:ascii="Calibri" w:hAnsi="Calibri"/>
          <w:sz w:val="22"/>
          <w:szCs w:val="22"/>
          <w:shd w:fill="auto" w:val="clea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2"/>
          <w:szCs w:val="22"/>
          <w:rFonts w:ascii="Calibri" w:hAnsi="Calibri"/>
        </w:rPr>
        <w:instrText> HYPERLINK "http://www.planalto.gov.br/ccivil_03/_ato2019-2022/2021/lei/L14133.htm" \l "art124"</w:instrText>
      </w:r>
      <w:r>
        <w:rPr>
          <w:rStyle w:val="LinkdaInternet"/>
          <w:sz w:val="22"/>
          <w:szCs w:val="22"/>
          <w:rFonts w:ascii="Calibri" w:hAnsi="Calibri"/>
        </w:rPr>
        <w:fldChar w:fldCharType="separate"/>
      </w:r>
      <w:r>
        <w:rPr>
          <w:rStyle w:val="LinkdaInternet"/>
          <w:rFonts w:ascii="Calibri" w:hAnsi="Calibri"/>
          <w:sz w:val="22"/>
          <w:szCs w:val="22"/>
        </w:rPr>
        <w:t>art. 124, II, d,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22"/>
        </w:numPr>
        <w:spacing w:lineRule="auto" w:line="312" w:before="120" w:after="288"/>
        <w:ind w:left="0" w:firstLine="567"/>
        <w:rPr>
          <w:sz w:val="22"/>
          <w:szCs w:val="22"/>
        </w:rPr>
      </w:pPr>
      <w:r>
        <w:rPr>
          <w:rFonts w:ascii="Calibri" w:hAnsi="Calibri"/>
          <w:sz w:val="22"/>
          <w:szCs w:val="22"/>
          <w:shd w:fill="auto" w:val="clear"/>
        </w:rPr>
        <w:t>Cumprir, além dos postulados legais vigentes de âmbito federal, estadual ou municipal, as normas de segurança do Contratante;</w:t>
      </w:r>
    </w:p>
    <w:p>
      <w:pPr>
        <w:pStyle w:val="Nivel01"/>
        <w:numPr>
          <w:ilvl w:val="0"/>
          <w:numId w:val="223"/>
        </w:numPr>
        <w:spacing w:lineRule="auto" w:line="312" w:before="120" w:after="288"/>
        <w:ind w:left="0" w:hanging="0"/>
        <w:rPr>
          <w:color w:val="000000"/>
          <w:sz w:val="22"/>
          <w:szCs w:val="22"/>
        </w:rPr>
      </w:pPr>
      <w:r>
        <w:rPr>
          <w:rFonts w:ascii="Calibri" w:hAnsi="Calibri"/>
          <w:color w:val="000000"/>
          <w:sz w:val="22"/>
          <w:szCs w:val="22"/>
          <w:shd w:fill="auto" w:val="clear"/>
        </w:rPr>
        <w:t>CLÁUSULA DÉCIMA- OBRIGAÇÕES PERTINENTES À LGPD</w:t>
      </w:r>
    </w:p>
    <w:p>
      <w:pPr>
        <w:pStyle w:val="Nvel2Red"/>
        <w:numPr>
          <w:ilvl w:val="1"/>
          <w:numId w:val="224"/>
        </w:numPr>
        <w:spacing w:lineRule="auto" w:line="312" w:before="120" w:after="288"/>
        <w:ind w:left="0" w:firstLine="567"/>
        <w:rPr/>
      </w:pPr>
      <w:r>
        <w:rPr>
          <w:rFonts w:ascii="Calibri" w:hAnsi="Calibri"/>
          <w:color w:val="000000"/>
          <w:sz w:val="22"/>
          <w:szCs w:val="22"/>
          <w:shd w:fill="auto" w:val="clear"/>
        </w:rPr>
        <w:t xml:space="preserve">As partes deverão cumprir a </w:t>
      </w:r>
      <w:hyperlink r:id="rId4">
        <w:r>
          <w:rPr>
            <w:rStyle w:val="LinkdaInternet"/>
            <w:rFonts w:ascii="Calibri" w:hAnsi="Calibri"/>
            <w:color w:val="000000"/>
            <w:sz w:val="22"/>
            <w:szCs w:val="22"/>
          </w:rPr>
          <w:t>Lei nº 13.709, de 14 de agosto de 2018 (LGPD)</w:t>
        </w:r>
      </w:hyperlink>
      <w:r>
        <w:rPr>
          <w:rFonts w:ascii="Calibri" w:hAnsi="Calibri"/>
          <w:color w:val="000000"/>
          <w:sz w:val="22"/>
          <w:szCs w:val="22"/>
          <w:shd w:fill="auto" w:val="clea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25"/>
        </w:numPr>
        <w:spacing w:lineRule="auto" w:line="312" w:before="120" w:after="288"/>
        <w:ind w:left="0" w:firstLine="567"/>
        <w:rPr/>
      </w:pPr>
      <w:r>
        <w:rPr>
          <w:rFonts w:ascii="Calibri" w:hAnsi="Calibri"/>
          <w:color w:val="000000"/>
          <w:sz w:val="22"/>
          <w:szCs w:val="22"/>
          <w:shd w:fill="auto" w:val="clear"/>
        </w:rPr>
        <w:t xml:space="preserve">Os dados obtidos somente poderão ser utilizados para as finalidades que justificaram seu acesso e de acordo com a boa-fé e com os princípios do </w:t>
      </w:r>
      <w:r>
        <w:fldChar w:fldCharType="begin"/>
      </w:r>
      <w:r>
        <w:rPr>
          <w:rStyle w:val="LinkdaInternet"/>
          <w:sz w:val="22"/>
          <w:szCs w:val="22"/>
          <w:rFonts w:ascii="Calibri" w:hAnsi="Calibri"/>
          <w:color w:val="000000"/>
        </w:rPr>
        <w:instrText> HYPERLINK "https://www.planalto.gov.br/ccivil_03/_ato2015-2018/2018/lei/l13709.htm" \l "art6"</w:instrText>
      </w:r>
      <w:r>
        <w:rPr>
          <w:rStyle w:val="LinkdaInternet"/>
          <w:sz w:val="22"/>
          <w:szCs w:val="22"/>
          <w:rFonts w:ascii="Calibri" w:hAnsi="Calibri"/>
          <w:color w:val="000000"/>
        </w:rPr>
        <w:fldChar w:fldCharType="separate"/>
      </w:r>
      <w:r>
        <w:rPr>
          <w:rStyle w:val="LinkdaInternet"/>
          <w:rFonts w:ascii="Calibri" w:hAnsi="Calibri"/>
          <w:color w:val="000000"/>
          <w:sz w:val="22"/>
          <w:szCs w:val="22"/>
        </w:rPr>
        <w:t>art. 6º da LGPD</w:t>
      </w:r>
      <w:r>
        <w:rPr>
          <w:rStyle w:val="LinkdaInternet"/>
          <w:sz w:val="22"/>
          <w:szCs w:val="22"/>
          <w:rFonts w:ascii="Calibri" w:hAnsi="Calibri"/>
          <w:color w:val="000000"/>
        </w:rPr>
        <w:fldChar w:fldCharType="end"/>
      </w:r>
      <w:r>
        <w:rPr>
          <w:rFonts w:ascii="Calibri" w:hAnsi="Calibri"/>
          <w:color w:val="000000"/>
          <w:sz w:val="22"/>
          <w:szCs w:val="22"/>
          <w:shd w:fill="auto" w:val="clear"/>
        </w:rPr>
        <w:t xml:space="preserve">. </w:t>
      </w:r>
    </w:p>
    <w:p>
      <w:pPr>
        <w:pStyle w:val="Nvel2Red"/>
        <w:numPr>
          <w:ilvl w:val="1"/>
          <w:numId w:val="226"/>
        </w:numPr>
        <w:spacing w:lineRule="auto" w:line="312" w:before="120" w:after="288"/>
        <w:ind w:left="0" w:firstLine="567"/>
        <w:rPr>
          <w:color w:val="000000"/>
          <w:sz w:val="22"/>
          <w:szCs w:val="22"/>
        </w:rPr>
      </w:pPr>
      <w:r>
        <w:rPr>
          <w:rFonts w:ascii="Calibri" w:hAnsi="Calibri"/>
          <w:color w:val="000000"/>
          <w:sz w:val="22"/>
          <w:szCs w:val="22"/>
          <w:shd w:fill="auto" w:val="clear"/>
        </w:rPr>
        <w:t>É vedado o compartilhamento com terceiros dos dados obtidos fora das hipóteses permitidas em Lei.</w:t>
      </w:r>
    </w:p>
    <w:p>
      <w:pPr>
        <w:pStyle w:val="Nvel2Red"/>
        <w:numPr>
          <w:ilvl w:val="1"/>
          <w:numId w:val="227"/>
        </w:numPr>
        <w:spacing w:lineRule="auto" w:line="312" w:before="120" w:after="288"/>
        <w:ind w:left="0" w:firstLine="567"/>
        <w:rPr>
          <w:color w:val="000000"/>
          <w:sz w:val="22"/>
          <w:szCs w:val="22"/>
        </w:rPr>
      </w:pPr>
      <w:r>
        <w:rPr>
          <w:rFonts w:ascii="Calibri" w:hAnsi="Calibri"/>
          <w:color w:val="000000"/>
          <w:sz w:val="22"/>
          <w:szCs w:val="22"/>
          <w:shd w:fill="auto" w:val="clear"/>
        </w:rPr>
        <w:t xml:space="preserve">A Administração deverá ser informada no prazo de 5 (cinco) dias úteis sobre todos os contratos de suboperação firmados ou que venham a ser celebrados pelo Contratado. </w:t>
      </w:r>
    </w:p>
    <w:p>
      <w:pPr>
        <w:pStyle w:val="Nvel2Red"/>
        <w:numPr>
          <w:ilvl w:val="1"/>
          <w:numId w:val="228"/>
        </w:numPr>
        <w:spacing w:lineRule="auto" w:line="312" w:before="120" w:after="288"/>
        <w:ind w:left="0" w:firstLine="567"/>
        <w:rPr/>
      </w:pPr>
      <w:r>
        <w:rPr>
          <w:rFonts w:ascii="Calibri" w:hAnsi="Calibri"/>
          <w:color w:val="000000"/>
          <w:sz w:val="22"/>
          <w:szCs w:val="22"/>
          <w:shd w:fill="auto" w:val="clear"/>
        </w:rPr>
        <w:t xml:space="preserve">Terminado o tratamento dos dados nos termos do </w:t>
      </w:r>
      <w:r>
        <w:fldChar w:fldCharType="begin"/>
      </w:r>
      <w:r>
        <w:rPr>
          <w:rStyle w:val="LinkdaInternet"/>
          <w:sz w:val="22"/>
          <w:szCs w:val="22"/>
          <w:rFonts w:ascii="Calibri" w:hAnsi="Calibri"/>
          <w:color w:val="000000"/>
        </w:rPr>
        <w:instrText> HYPERLINK "https://www.planalto.gov.br/ccivil_03/_ato2015-2018/2018/lei/l13709.htm" \l "art15"</w:instrText>
      </w:r>
      <w:r>
        <w:rPr>
          <w:rStyle w:val="LinkdaInternet"/>
          <w:sz w:val="22"/>
          <w:szCs w:val="22"/>
          <w:rFonts w:ascii="Calibri" w:hAnsi="Calibri"/>
          <w:color w:val="000000"/>
        </w:rPr>
        <w:fldChar w:fldCharType="separate"/>
      </w:r>
      <w:r>
        <w:rPr>
          <w:rStyle w:val="LinkdaInternet"/>
          <w:rFonts w:ascii="Calibri" w:hAnsi="Calibri"/>
          <w:color w:val="000000"/>
          <w:sz w:val="22"/>
          <w:szCs w:val="22"/>
        </w:rPr>
        <w:t>art. 15 da LGPD</w:t>
      </w:r>
      <w:r>
        <w:rPr>
          <w:rStyle w:val="LinkdaInternet"/>
          <w:sz w:val="22"/>
          <w:szCs w:val="22"/>
          <w:rFonts w:ascii="Calibri" w:hAnsi="Calibri"/>
          <w:color w:val="000000"/>
        </w:rPr>
        <w:fldChar w:fldCharType="end"/>
      </w:r>
      <w:r>
        <w:rPr>
          <w:rFonts w:ascii="Calibri" w:hAnsi="Calibri"/>
          <w:color w:val="000000"/>
          <w:sz w:val="22"/>
          <w:szCs w:val="22"/>
          <w:shd w:fill="auto" w:val="clear"/>
        </w:rPr>
        <w:t xml:space="preserve">, é dever do contratado eliminá-los, com exceção das hipóteses do </w:t>
      </w:r>
      <w:r>
        <w:fldChar w:fldCharType="begin"/>
      </w:r>
      <w:r>
        <w:rPr>
          <w:rStyle w:val="LinkdaInternet"/>
          <w:sz w:val="22"/>
          <w:szCs w:val="22"/>
          <w:rFonts w:ascii="Calibri" w:hAnsi="Calibri"/>
          <w:color w:val="000000"/>
        </w:rPr>
        <w:instrText> HYPERLINK "https://www.planalto.gov.br/ccivil_03/_ato2015-2018/2018/lei/l13709.htm" \l "art16"</w:instrText>
      </w:r>
      <w:r>
        <w:rPr>
          <w:rStyle w:val="LinkdaInternet"/>
          <w:sz w:val="22"/>
          <w:szCs w:val="22"/>
          <w:rFonts w:ascii="Calibri" w:hAnsi="Calibri"/>
          <w:color w:val="000000"/>
        </w:rPr>
        <w:fldChar w:fldCharType="separate"/>
      </w:r>
      <w:r>
        <w:rPr>
          <w:rStyle w:val="LinkdaInternet"/>
          <w:rFonts w:ascii="Calibri" w:hAnsi="Calibri"/>
          <w:color w:val="000000"/>
          <w:sz w:val="22"/>
          <w:szCs w:val="22"/>
        </w:rPr>
        <w:t>art. 16 da LGPD</w:t>
      </w:r>
      <w:r>
        <w:rPr>
          <w:rStyle w:val="LinkdaInternet"/>
          <w:sz w:val="22"/>
          <w:szCs w:val="22"/>
          <w:rFonts w:ascii="Calibri" w:hAnsi="Calibri"/>
          <w:color w:val="000000"/>
        </w:rPr>
        <w:fldChar w:fldCharType="end"/>
      </w:r>
      <w:r>
        <w:rPr>
          <w:rFonts w:ascii="Calibri" w:hAnsi="Calibri"/>
          <w:color w:val="000000"/>
          <w:sz w:val="22"/>
          <w:szCs w:val="22"/>
          <w:shd w:fill="auto" w:val="clear"/>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29"/>
        </w:numPr>
        <w:spacing w:lineRule="auto" w:line="312" w:before="120" w:after="288"/>
        <w:ind w:left="0" w:firstLine="567"/>
        <w:rPr>
          <w:color w:val="000000"/>
          <w:sz w:val="22"/>
          <w:szCs w:val="22"/>
        </w:rPr>
      </w:pPr>
      <w:r>
        <w:rPr>
          <w:rFonts w:ascii="Calibri" w:hAnsi="Calibri"/>
          <w:color w:val="000000"/>
          <w:sz w:val="22"/>
          <w:szCs w:val="22"/>
          <w:shd w:fill="auto" w:val="clear"/>
        </w:rPr>
        <w:t xml:space="preserve">É dever do contratado orientar e treinar seus empregados sobre os deveres, requisitos e responsabilidades decorrentes da LGPD. </w:t>
      </w:r>
    </w:p>
    <w:p>
      <w:pPr>
        <w:pStyle w:val="Nvel2Red"/>
        <w:numPr>
          <w:ilvl w:val="1"/>
          <w:numId w:val="230"/>
        </w:numPr>
        <w:spacing w:lineRule="auto" w:line="312" w:before="120" w:after="288"/>
        <w:ind w:left="0" w:firstLine="567"/>
        <w:rPr>
          <w:color w:val="000000"/>
          <w:sz w:val="22"/>
          <w:szCs w:val="22"/>
        </w:rPr>
      </w:pPr>
      <w:r>
        <w:rPr>
          <w:rFonts w:ascii="Calibri" w:hAnsi="Calibri"/>
          <w:color w:val="000000"/>
          <w:sz w:val="22"/>
          <w:szCs w:val="22"/>
          <w:shd w:fill="auto" w:val="clear"/>
        </w:rPr>
        <w:t>O Contratado deverá exigir de suboperadores e subcontratados o cumprimento dos deveres da presente cláusula, permanecendo integralmente responsável por garantir sua observância.</w:t>
      </w:r>
    </w:p>
    <w:p>
      <w:pPr>
        <w:pStyle w:val="Nvel2Red"/>
        <w:numPr>
          <w:ilvl w:val="1"/>
          <w:numId w:val="231"/>
        </w:numPr>
        <w:spacing w:lineRule="auto" w:line="312" w:before="120" w:after="288"/>
        <w:ind w:left="0" w:firstLine="567"/>
        <w:rPr>
          <w:color w:val="000000"/>
          <w:sz w:val="22"/>
          <w:szCs w:val="22"/>
        </w:rPr>
      </w:pPr>
      <w:r>
        <w:rPr>
          <w:rFonts w:ascii="Calibri" w:hAnsi="Calibri"/>
          <w:color w:val="000000"/>
          <w:sz w:val="22"/>
          <w:szCs w:val="22"/>
          <w:shd w:fill="auto" w:val="clear"/>
        </w:rPr>
        <w:t xml:space="preserve">O Contratante poderá realizar diligência para aferir o cumprimento dessa cláusula, devendo o Contratado atender prontamente eventuais pedidos de comprovação formulados. </w:t>
      </w:r>
    </w:p>
    <w:p>
      <w:pPr>
        <w:pStyle w:val="Nvel2Red"/>
        <w:numPr>
          <w:ilvl w:val="1"/>
          <w:numId w:val="232"/>
        </w:numPr>
        <w:spacing w:lineRule="auto" w:line="312" w:before="120" w:after="288"/>
        <w:ind w:left="0" w:firstLine="567"/>
        <w:rPr>
          <w:color w:val="000000"/>
          <w:sz w:val="22"/>
          <w:szCs w:val="22"/>
        </w:rPr>
      </w:pPr>
      <w:r>
        <w:rPr>
          <w:rFonts w:ascii="Calibri" w:hAnsi="Calibri"/>
          <w:color w:val="000000"/>
          <w:sz w:val="22"/>
          <w:szCs w:val="22"/>
          <w:shd w:fill="auto" w:val="clea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33"/>
        </w:numPr>
        <w:spacing w:lineRule="auto" w:line="312" w:before="120" w:after="288"/>
        <w:ind w:left="0" w:firstLine="567"/>
        <w:rPr/>
      </w:pPr>
      <w:r>
        <w:rPr>
          <w:rFonts w:ascii="Calibri" w:hAnsi="Calibri"/>
          <w:color w:val="000000"/>
          <w:sz w:val="22"/>
          <w:szCs w:val="22"/>
          <w:shd w:fill="auto" w:val="clear"/>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rFonts w:ascii="Calibri" w:hAnsi="Calibri"/>
            <w:color w:val="000000"/>
            <w:sz w:val="22"/>
            <w:szCs w:val="22"/>
          </w:rPr>
          <w:t>LGPD, art. 37</w:t>
        </w:r>
      </w:hyperlink>
      <w:r>
        <w:rPr>
          <w:rFonts w:ascii="Calibri" w:hAnsi="Calibri"/>
          <w:color w:val="000000"/>
          <w:sz w:val="22"/>
          <w:szCs w:val="22"/>
          <w:shd w:fill="auto" w:val="clear"/>
        </w:rPr>
        <w:t>), com cada acesso, data, horário e registro da finalidade, para efeito de responsabilização, em caso de eventuais omissões, desvios ou abusos.</w:t>
      </w:r>
    </w:p>
    <w:p>
      <w:pPr>
        <w:pStyle w:val="Nvel3R"/>
        <w:numPr>
          <w:ilvl w:val="2"/>
          <w:numId w:val="234"/>
        </w:numPr>
        <w:spacing w:lineRule="auto" w:line="312" w:before="120" w:after="288"/>
        <w:ind w:left="170" w:firstLine="709"/>
        <w:rPr>
          <w:color w:val="000000"/>
          <w:sz w:val="22"/>
          <w:szCs w:val="22"/>
        </w:rPr>
      </w:pPr>
      <w:r>
        <w:rPr>
          <w:rFonts w:ascii="Calibri" w:hAnsi="Calibri"/>
          <w:color w:val="000000"/>
          <w:sz w:val="22"/>
          <w:szCs w:val="22"/>
          <w:shd w:fill="auto" w:val="clear"/>
        </w:rPr>
        <w:t>Os referidos bancos de dados devem ser desenvolvidos em formato interoperável, a fim de garantir a reutilização desses dados pela Administração nas hipóteses previstas na LGPD.</w:t>
      </w:r>
    </w:p>
    <w:p>
      <w:pPr>
        <w:pStyle w:val="Nvel2Red"/>
        <w:numPr>
          <w:ilvl w:val="1"/>
          <w:numId w:val="235"/>
        </w:numPr>
        <w:spacing w:lineRule="auto" w:line="312" w:before="120" w:after="288"/>
        <w:ind w:left="0" w:firstLine="567"/>
        <w:rPr>
          <w:color w:val="000000"/>
          <w:sz w:val="22"/>
          <w:szCs w:val="22"/>
        </w:rPr>
      </w:pPr>
      <w:r>
        <w:rPr>
          <w:rFonts w:ascii="Calibri" w:hAnsi="Calibri"/>
          <w:color w:val="000000"/>
          <w:sz w:val="22"/>
          <w:szCs w:val="22"/>
          <w:shd w:fill="auto" w:val="clea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36"/>
        </w:numPr>
        <w:spacing w:lineRule="auto" w:line="312" w:before="120" w:after="288"/>
        <w:ind w:left="0" w:firstLine="567"/>
        <w:rPr/>
      </w:pPr>
      <w:r>
        <w:rPr>
          <w:rFonts w:ascii="Calibri" w:hAnsi="Calibri"/>
          <w:color w:val="000000"/>
          <w:sz w:val="22"/>
          <w:szCs w:val="22"/>
          <w:shd w:fill="auto" w:val="clear"/>
        </w:rPr>
        <w:t xml:space="preserve">Os contratos e convênios de que trata o </w:t>
      </w:r>
      <w:r>
        <w:fldChar w:fldCharType="begin"/>
      </w:r>
      <w:r>
        <w:rPr>
          <w:rStyle w:val="LinkdaInternet"/>
          <w:sz w:val="22"/>
          <w:szCs w:val="22"/>
          <w:rFonts w:ascii="Calibri" w:hAnsi="Calibri"/>
          <w:color w:val="000000"/>
        </w:rPr>
        <w:instrText> HYPERLINK "https://www.planalto.gov.br/ccivil_03/_ato2015-2018/2018/lei/l13709.htm" \l "art26§1"</w:instrText>
      </w:r>
      <w:r>
        <w:rPr>
          <w:rStyle w:val="LinkdaInternet"/>
          <w:sz w:val="22"/>
          <w:szCs w:val="22"/>
          <w:rFonts w:ascii="Calibri" w:hAnsi="Calibri"/>
          <w:color w:val="000000"/>
        </w:rPr>
        <w:fldChar w:fldCharType="separate"/>
      </w:r>
      <w:r>
        <w:rPr>
          <w:rStyle w:val="LinkdaInternet"/>
          <w:rFonts w:ascii="Calibri" w:hAnsi="Calibri"/>
          <w:color w:val="000000"/>
          <w:sz w:val="22"/>
          <w:szCs w:val="22"/>
        </w:rPr>
        <w:t>§ 1º do art. 26 da LGPD</w:t>
      </w:r>
      <w:r>
        <w:rPr>
          <w:rStyle w:val="LinkdaInternet"/>
          <w:sz w:val="22"/>
          <w:szCs w:val="22"/>
          <w:rFonts w:ascii="Calibri" w:hAnsi="Calibri"/>
          <w:color w:val="000000"/>
        </w:rPr>
        <w:fldChar w:fldCharType="end"/>
      </w:r>
      <w:r>
        <w:rPr>
          <w:rFonts w:ascii="Calibri" w:hAnsi="Calibri"/>
          <w:color w:val="000000"/>
          <w:sz w:val="22"/>
          <w:szCs w:val="22"/>
          <w:shd w:fill="auto" w:val="clear"/>
        </w:rPr>
        <w:t xml:space="preserve"> deverão ser comunicados à autoridade nacional.</w:t>
      </w:r>
    </w:p>
    <w:p>
      <w:pPr>
        <w:pStyle w:val="Nivel01"/>
        <w:numPr>
          <w:ilvl w:val="0"/>
          <w:numId w:val="237"/>
        </w:numPr>
        <w:spacing w:lineRule="auto" w:line="312" w:before="120" w:after="288"/>
        <w:ind w:left="0" w:hanging="0"/>
        <w:rPr/>
      </w:pPr>
      <w:r>
        <w:rPr>
          <w:rFonts w:ascii="Calibri" w:hAnsi="Calibri"/>
          <w:sz w:val="22"/>
          <w:szCs w:val="22"/>
          <w:shd w:fill="auto" w:val="clear"/>
        </w:rPr>
        <w:t>CLÁUSULA DÉCIMA PRIMEIRA – GARANTIA DE EXECUÇÃO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XII</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38"/>
        </w:numPr>
        <w:spacing w:lineRule="auto" w:line="312" w:before="120" w:after="288"/>
        <w:ind w:left="0" w:firstLine="567"/>
        <w:rPr>
          <w:color w:val="000000"/>
          <w:sz w:val="22"/>
          <w:szCs w:val="22"/>
        </w:rPr>
      </w:pPr>
      <w:r>
        <w:rPr>
          <w:rFonts w:ascii="Calibri" w:hAnsi="Calibri"/>
          <w:i/>
          <w:color w:val="000000"/>
          <w:sz w:val="22"/>
          <w:szCs w:val="22"/>
          <w:shd w:fill="auto" w:val="clear"/>
        </w:rPr>
        <w:t>Não haverá exigência de garantia contratual da execução.</w:t>
      </w:r>
    </w:p>
    <w:p>
      <w:pPr>
        <w:pStyle w:val="Nivel01"/>
        <w:numPr>
          <w:ilvl w:val="0"/>
          <w:numId w:val="239"/>
        </w:numPr>
        <w:spacing w:lineRule="auto" w:line="312" w:before="120" w:after="288"/>
        <w:ind w:left="0" w:hanging="0"/>
        <w:rPr/>
      </w:pPr>
      <w:r>
        <w:rPr>
          <w:rFonts w:ascii="Calibri" w:hAnsi="Calibri"/>
          <w:sz w:val="22"/>
          <w:szCs w:val="22"/>
          <w:shd w:fill="auto" w:val="clear"/>
        </w:rPr>
        <w:t>CLÁUSULA DÉCIMA SEGUNDA – INFRAÇÕES E SANÇÕES ADMINISTRATIVAS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XIV</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40"/>
        </w:numPr>
        <w:spacing w:lineRule="auto" w:line="312" w:before="120" w:after="288"/>
        <w:ind w:left="0" w:firstLine="567"/>
        <w:rPr/>
      </w:pPr>
      <w:r>
        <w:rPr>
          <w:rFonts w:ascii="Calibri" w:hAnsi="Calibri"/>
          <w:sz w:val="22"/>
          <w:szCs w:val="22"/>
          <w:shd w:fill="auto" w:val="clear"/>
        </w:rPr>
        <w:t xml:space="preserve">Comete infração administrativa, nos termos da </w:t>
      </w:r>
      <w:hyperlink r:id="rId6">
        <w:r>
          <w:rPr>
            <w:rStyle w:val="LinkdaInternet"/>
            <w:rFonts w:ascii="Calibri" w:hAnsi="Calibri"/>
            <w:sz w:val="22"/>
            <w:szCs w:val="22"/>
          </w:rPr>
          <w:t>Lei nº 14.133, de 2021</w:t>
        </w:r>
      </w:hyperlink>
      <w:r>
        <w:rPr>
          <w:rFonts w:ascii="Calibri" w:hAnsi="Calibri"/>
          <w:sz w:val="22"/>
          <w:szCs w:val="22"/>
          <w:shd w:fill="auto" w:val="clear"/>
        </w:rPr>
        <w:t>, o contratado que:</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der causa à inexecução parcial do contrato;</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der causa à inexecução parcial do contrato que cause grave dano à Administração ou ao funcionamento dos serviços públicos ou ao interesse coletivo;</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der causa à inexecução total do contrato;</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ensejar o retardamento da execução ou da entrega do objeto da contratação sem motivo justificado;</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apresentar documentação falsa ou prestar declaração falsa durante a execução do contrato;</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praticar ato fraudulento na execução do contrato;</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comportar-se de modo inidôneo ou cometer fraude de qualquer natureza;</w:t>
      </w:r>
    </w:p>
    <w:p>
      <w:pPr>
        <w:pStyle w:val="Normal"/>
        <w:numPr>
          <w:ilvl w:val="2"/>
          <w:numId w:val="4"/>
        </w:numPr>
        <w:suppressAutoHyphens w:val="true"/>
        <w:spacing w:before="120" w:after="288"/>
        <w:ind w:left="924" w:firstLine="851"/>
        <w:jc w:val="both"/>
        <w:rPr>
          <w:sz w:val="22"/>
          <w:szCs w:val="22"/>
        </w:rPr>
      </w:pPr>
      <w:r>
        <w:rPr>
          <w:rFonts w:eastAsia="Arial" w:cs="Arial" w:ascii="Calibri" w:hAnsi="Calibri"/>
          <w:sz w:val="22"/>
          <w:szCs w:val="22"/>
          <w:shd w:fill="auto" w:val="clear"/>
        </w:rPr>
        <w:t>praticar ato lesivo previsto no art. 5º da Lei nº 12.846, de 1º de agosto de 2013.</w:t>
      </w:r>
    </w:p>
    <w:p>
      <w:pPr>
        <w:pStyle w:val="Nivel2"/>
        <w:numPr>
          <w:ilvl w:val="1"/>
          <w:numId w:val="241"/>
        </w:numPr>
        <w:spacing w:lineRule="auto" w:line="312" w:before="120" w:after="288"/>
        <w:ind w:left="0" w:firstLine="567"/>
        <w:rPr>
          <w:sz w:val="22"/>
          <w:szCs w:val="22"/>
        </w:rPr>
      </w:pPr>
      <w:r>
        <w:rPr>
          <w:rFonts w:ascii="Calibri" w:hAnsi="Calibri"/>
          <w:sz w:val="22"/>
          <w:szCs w:val="22"/>
          <w:shd w:fill="auto" w:val="clear"/>
        </w:rPr>
        <w:t>Serão aplicadas ao contratado que incorrer nas infrações acima descritas as seguintes sanções:</w:t>
      </w:r>
    </w:p>
    <w:p>
      <w:pPr>
        <w:pStyle w:val="Normal"/>
        <w:numPr>
          <w:ilvl w:val="2"/>
          <w:numId w:val="5"/>
        </w:numPr>
        <w:suppressAutoHyphens w:val="true"/>
        <w:spacing w:lineRule="auto" w:line="312" w:before="120" w:after="288"/>
        <w:ind w:left="924" w:firstLine="851"/>
        <w:contextualSpacing/>
        <w:jc w:val="both"/>
        <w:rPr/>
      </w:pPr>
      <w:r>
        <w:rPr>
          <w:rFonts w:eastAsia="Arial" w:cs="Arial" w:ascii="Calibri" w:hAnsi="Calibri"/>
          <w:b/>
          <w:bCs/>
          <w:sz w:val="22"/>
          <w:szCs w:val="22"/>
          <w:shd w:fill="auto" w:val="clear"/>
        </w:rPr>
        <w:t>Advertência</w:t>
      </w:r>
      <w:r>
        <w:rPr>
          <w:rFonts w:eastAsia="Arial" w:cs="Arial" w:ascii="Calibri" w:hAnsi="Calibri"/>
          <w:sz w:val="22"/>
          <w:szCs w:val="22"/>
          <w:shd w:fill="auto" w:val="clear"/>
        </w:rPr>
        <w:t>, quando o contratado der causa à inexecução parcial do contrato, sempre que não se justificar a imposição de penalidade mais grave (</w:t>
      </w:r>
      <w:r>
        <w:fldChar w:fldCharType="begin"/>
      </w:r>
      <w:r>
        <w:rPr>
          <w:rStyle w:val="LinkdaInternet"/>
          <w:sz w:val="22"/>
          <w:szCs w:val="22"/>
          <w:rFonts w:eastAsia="Arial" w:cs="Arial" w:ascii="Calibri" w:hAnsi="Calibri"/>
        </w:rPr>
        <w:instrText> HYPERLINK "http://www.planalto.gov.br/ccivil_03/_ato2019-2022/2021/lei/L14133.htm" \l "art156§2"</w:instrText>
      </w:r>
      <w:r>
        <w:rPr>
          <w:rStyle w:val="LinkdaInternet"/>
          <w:sz w:val="22"/>
          <w:szCs w:val="22"/>
          <w:rFonts w:eastAsia="Arial" w:cs="Arial" w:ascii="Calibri" w:hAnsi="Calibri"/>
        </w:rPr>
        <w:fldChar w:fldCharType="separate"/>
      </w:r>
      <w:r>
        <w:rPr>
          <w:rStyle w:val="LinkdaInternet"/>
          <w:rFonts w:eastAsia="Arial" w:cs="Arial" w:ascii="Calibri" w:hAnsi="Calibri"/>
          <w:sz w:val="22"/>
          <w:szCs w:val="22"/>
        </w:rPr>
        <w:t xml:space="preserve">art. 156, §2º, da </w:t>
      </w:r>
      <w:r>
        <w:rPr>
          <w:rStyle w:val="LinkdaInternet"/>
          <w:sz w:val="22"/>
          <w:szCs w:val="22"/>
          <w:rFonts w:eastAsia="Arial" w:cs="Arial" w:ascii="Calibri" w:hAnsi="Calibri"/>
        </w:rPr>
        <w:fldChar w:fldCharType="end"/>
      </w:r>
      <w:bookmarkStart w:id="5" w:name="_Hlk114504069"/>
      <w:r>
        <w:rPr>
          <w:rStyle w:val="LinkdaInternet"/>
          <w:rFonts w:eastAsia="Arial" w:cs="Arial" w:ascii="Calibri" w:hAnsi="Calibri"/>
          <w:sz w:val="22"/>
          <w:szCs w:val="22"/>
        </w:rPr>
        <w:t>Lei nº 14.133, de 2021</w:t>
      </w:r>
      <w:bookmarkEnd w:id="5"/>
      <w:r>
        <w:rPr>
          <w:rFonts w:eastAsia="Arial" w:cs="Arial" w:ascii="Calibri" w:hAnsi="Calibri"/>
          <w:sz w:val="22"/>
          <w:szCs w:val="22"/>
          <w:shd w:fill="auto" w:val="clear"/>
        </w:rPr>
        <w:t>);</w:t>
      </w:r>
    </w:p>
    <w:p>
      <w:pPr>
        <w:pStyle w:val="Normal"/>
        <w:numPr>
          <w:ilvl w:val="2"/>
          <w:numId w:val="5"/>
        </w:numPr>
        <w:suppressAutoHyphens w:val="true"/>
        <w:spacing w:lineRule="auto" w:line="312" w:before="120" w:after="288"/>
        <w:ind w:left="924" w:firstLine="851"/>
        <w:contextualSpacing/>
        <w:jc w:val="both"/>
        <w:rPr/>
      </w:pPr>
      <w:r>
        <w:rPr>
          <w:rFonts w:eastAsia="Arial" w:cs="Arial" w:ascii="Calibri" w:hAnsi="Calibri"/>
          <w:b/>
          <w:bCs/>
          <w:sz w:val="22"/>
          <w:szCs w:val="22"/>
          <w:shd w:fill="auto" w:val="clear"/>
        </w:rPr>
        <w:t>Impedimento de licitar e contratar</w:t>
      </w:r>
      <w:r>
        <w:rPr>
          <w:rFonts w:eastAsia="Arial" w:cs="Arial" w:ascii="Calibri" w:hAnsi="Calibri"/>
          <w:sz w:val="22"/>
          <w:szCs w:val="22"/>
          <w:shd w:fill="auto" w:val="clear"/>
        </w:rPr>
        <w:t>, quando praticadas as condutas descritas nas alíneas “b”, “c” e “d” do subitem acima deste Contrato, sempre que não se justificar a imposição de penalidade mais grave (</w:t>
      </w:r>
      <w:r>
        <w:fldChar w:fldCharType="begin"/>
      </w:r>
      <w:r>
        <w:rPr>
          <w:rStyle w:val="LinkdaInternet"/>
          <w:sz w:val="22"/>
          <w:szCs w:val="22"/>
          <w:rFonts w:eastAsia="Arial" w:cs="Arial" w:ascii="Calibri" w:hAnsi="Calibri"/>
        </w:rPr>
        <w:instrText> HYPERLINK "http://www.planalto.gov.br/ccivil_03/_ato2019-2022/2021/lei/L14133.htm" \l "art156§4"</w:instrText>
      </w:r>
      <w:r>
        <w:rPr>
          <w:rStyle w:val="LinkdaInternet"/>
          <w:sz w:val="22"/>
          <w:szCs w:val="22"/>
          <w:rFonts w:eastAsia="Arial" w:cs="Arial" w:ascii="Calibri" w:hAnsi="Calibri"/>
        </w:rPr>
        <w:fldChar w:fldCharType="separate"/>
      </w:r>
      <w:r>
        <w:rPr>
          <w:rStyle w:val="LinkdaInternet"/>
          <w:rFonts w:eastAsia="Arial" w:cs="Arial" w:ascii="Calibri" w:hAnsi="Calibri"/>
          <w:sz w:val="22"/>
          <w:szCs w:val="22"/>
        </w:rPr>
        <w:t>art. 156, § 4º, da Lei nº 14.133, de 2021</w:t>
      </w:r>
      <w:r>
        <w:rPr>
          <w:rStyle w:val="LinkdaInternet"/>
          <w:sz w:val="22"/>
          <w:szCs w:val="22"/>
          <w:rFonts w:eastAsia="Arial" w:cs="Arial" w:ascii="Calibri" w:hAnsi="Calibri"/>
        </w:rPr>
        <w:fldChar w:fldCharType="end"/>
      </w:r>
      <w:r>
        <w:rPr>
          <w:rFonts w:eastAsia="Arial" w:cs="Arial" w:ascii="Calibri" w:hAnsi="Calibri"/>
          <w:sz w:val="22"/>
          <w:szCs w:val="22"/>
          <w:shd w:fill="auto" w:val="clear"/>
        </w:rPr>
        <w:t>);</w:t>
      </w:r>
    </w:p>
    <w:p>
      <w:pPr>
        <w:pStyle w:val="Normal"/>
        <w:numPr>
          <w:ilvl w:val="2"/>
          <w:numId w:val="5"/>
        </w:numPr>
        <w:suppressAutoHyphens w:val="true"/>
        <w:spacing w:lineRule="auto" w:line="312" w:before="120" w:after="288"/>
        <w:ind w:left="924" w:firstLine="851"/>
        <w:contextualSpacing/>
        <w:jc w:val="both"/>
        <w:rPr/>
      </w:pPr>
      <w:r>
        <w:rPr>
          <w:rFonts w:eastAsia="Arial" w:cs="Arial" w:ascii="Calibri" w:hAnsi="Calibri"/>
          <w:b/>
          <w:bCs/>
          <w:sz w:val="22"/>
          <w:szCs w:val="22"/>
          <w:shd w:fill="auto" w:val="clear"/>
        </w:rPr>
        <w:t>Declaração de inidoneidade para licitar e contratar</w:t>
      </w:r>
      <w:r>
        <w:rPr>
          <w:rFonts w:eastAsia="Arial" w:cs="Arial" w:ascii="Calibri" w:hAnsi="Calibri"/>
          <w:sz w:val="22"/>
          <w:szCs w:val="22"/>
          <w:shd w:fill="auto" w:val="clear"/>
        </w:rPr>
        <w:t>, quando praticadas as condutas descritas nas alíneas “e”, “f”, “g” e “h” do subitem acima deste Contrato, bem como nas alíneas “b”, “c” e “d”, que justifiquem a imposição de penalidade mais grave (</w:t>
      </w:r>
      <w:r>
        <w:fldChar w:fldCharType="begin"/>
      </w:r>
      <w:r>
        <w:rPr>
          <w:rStyle w:val="LinkdaInternet"/>
          <w:sz w:val="22"/>
          <w:szCs w:val="22"/>
          <w:rFonts w:eastAsia="Arial" w:cs="Arial" w:ascii="Calibri" w:hAnsi="Calibri"/>
        </w:rPr>
        <w:instrText> HYPERLINK "http://www.planalto.gov.br/ccivil_03/_ato2019-2022/2021/lei/L14133.htm" \l "art156§5"</w:instrText>
      </w:r>
      <w:r>
        <w:rPr>
          <w:rStyle w:val="LinkdaInternet"/>
          <w:sz w:val="22"/>
          <w:szCs w:val="22"/>
          <w:rFonts w:eastAsia="Arial" w:cs="Arial" w:ascii="Calibri" w:hAnsi="Calibri"/>
        </w:rPr>
        <w:fldChar w:fldCharType="separate"/>
      </w:r>
      <w:r>
        <w:rPr>
          <w:rStyle w:val="LinkdaInternet"/>
          <w:rFonts w:eastAsia="Arial" w:cs="Arial" w:ascii="Calibri" w:hAnsi="Calibri"/>
          <w:sz w:val="22"/>
          <w:szCs w:val="22"/>
        </w:rPr>
        <w:t>art. 156, §5º, da Lei nº 14.133, de 2021</w:t>
      </w:r>
      <w:r>
        <w:rPr>
          <w:rStyle w:val="LinkdaInternet"/>
          <w:sz w:val="22"/>
          <w:szCs w:val="22"/>
          <w:rFonts w:eastAsia="Arial" w:cs="Arial" w:ascii="Calibri" w:hAnsi="Calibri"/>
        </w:rPr>
        <w:fldChar w:fldCharType="end"/>
      </w:r>
      <w:r>
        <w:rPr>
          <w:rFonts w:eastAsia="Arial" w:cs="Arial" w:ascii="Calibri" w:hAnsi="Calibri"/>
          <w:sz w:val="22"/>
          <w:szCs w:val="22"/>
          <w:shd w:fill="auto" w:val="clear"/>
        </w:rPr>
        <w:t>).</w:t>
      </w:r>
    </w:p>
    <w:p>
      <w:pPr>
        <w:pStyle w:val="Normal"/>
        <w:numPr>
          <w:ilvl w:val="2"/>
          <w:numId w:val="5"/>
        </w:numPr>
        <w:suppressAutoHyphens w:val="true"/>
        <w:spacing w:lineRule="auto" w:line="312" w:before="120" w:after="288"/>
        <w:ind w:left="924" w:firstLine="851"/>
        <w:contextualSpacing/>
        <w:jc w:val="both"/>
        <w:rPr>
          <w:sz w:val="22"/>
          <w:szCs w:val="22"/>
        </w:rPr>
      </w:pPr>
      <w:r>
        <w:rPr>
          <w:rFonts w:eastAsia="Arial" w:cs="Arial" w:ascii="Calibri" w:hAnsi="Calibri"/>
          <w:b/>
          <w:bCs/>
          <w:sz w:val="22"/>
          <w:szCs w:val="22"/>
          <w:shd w:fill="auto" w:val="clear"/>
        </w:rPr>
        <w:t>Multa:</w:t>
      </w:r>
    </w:p>
    <w:p>
      <w:pPr>
        <w:pStyle w:val="Normal"/>
        <w:numPr>
          <w:ilvl w:val="3"/>
          <w:numId w:val="5"/>
        </w:numPr>
        <w:suppressAutoHyphens w:val="true"/>
        <w:spacing w:lineRule="auto" w:line="312" w:before="120" w:after="288"/>
        <w:ind w:left="1843" w:firstLine="284"/>
        <w:contextualSpacing/>
        <w:jc w:val="both"/>
        <w:rPr>
          <w:sz w:val="22"/>
          <w:szCs w:val="22"/>
        </w:rPr>
      </w:pPr>
      <w:r>
        <w:rPr>
          <w:rFonts w:eastAsia="Arial" w:cs="Arial" w:ascii="Calibri" w:hAnsi="Calibri"/>
          <w:sz w:val="22"/>
          <w:szCs w:val="22"/>
          <w:shd w:fill="auto" w:val="clear"/>
        </w:rPr>
        <w:t xml:space="preserve">Moratória </w:t>
      </w:r>
      <w:r>
        <w:rPr>
          <w:rFonts w:eastAsia="Arial" w:cs="Arial" w:ascii="Calibri" w:hAnsi="Calibri"/>
          <w:color w:val="000000"/>
          <w:sz w:val="22"/>
          <w:szCs w:val="22"/>
          <w:shd w:fill="auto" w:val="clear"/>
        </w:rPr>
        <w:t>de 30% (trinta</w:t>
      </w:r>
      <w:r>
        <w:rPr>
          <w:rFonts w:eastAsia="Arial" w:cs="Arial" w:ascii="Calibri" w:hAnsi="Calibri"/>
          <w:sz w:val="22"/>
          <w:szCs w:val="22"/>
          <w:shd w:fill="auto" w:val="clear"/>
        </w:rPr>
        <w:t xml:space="preserve"> por cento) por dia de atraso injustificado sobre o valor da parcela </w:t>
      </w:r>
      <w:r>
        <w:rPr>
          <w:rFonts w:eastAsia="Arial" w:cs="Arial" w:ascii="Calibri" w:hAnsi="Calibri"/>
          <w:color w:val="000000"/>
          <w:sz w:val="22"/>
          <w:szCs w:val="22"/>
          <w:shd w:fill="auto" w:val="clear"/>
        </w:rPr>
        <w:t>inadimplida;</w:t>
      </w:r>
    </w:p>
    <w:p>
      <w:pPr>
        <w:pStyle w:val="Normal"/>
        <w:numPr>
          <w:ilvl w:val="3"/>
          <w:numId w:val="5"/>
        </w:numPr>
        <w:suppressAutoHyphens w:val="true"/>
        <w:spacing w:lineRule="auto" w:line="312" w:before="120" w:after="288"/>
        <w:ind w:left="1843" w:firstLine="284"/>
        <w:contextualSpacing/>
        <w:jc w:val="both"/>
        <w:rPr>
          <w:sz w:val="22"/>
          <w:szCs w:val="22"/>
        </w:rPr>
      </w:pPr>
      <w:r>
        <w:rPr>
          <w:rFonts w:eastAsia="Arial" w:cs="Arial" w:ascii="Calibri" w:hAnsi="Calibri"/>
          <w:sz w:val="22"/>
          <w:szCs w:val="22"/>
          <w:shd w:fill="auto" w:val="clear"/>
        </w:rPr>
        <w:t xml:space="preserve"> </w:t>
      </w:r>
      <w:r>
        <w:rPr>
          <w:rFonts w:eastAsia="Arial" w:cs="Arial" w:ascii="Calibri" w:hAnsi="Calibri"/>
          <w:sz w:val="22"/>
          <w:szCs w:val="22"/>
          <w:shd w:fill="auto" w:val="clear"/>
        </w:rPr>
        <w:t xml:space="preserve">Compensatória, para as infrações descritas nas alíneas “e” a “h” do subitem 12.1, de </w:t>
      </w:r>
      <w:r>
        <w:rPr>
          <w:rFonts w:eastAsia="Arial" w:cs="Arial" w:ascii="Calibri" w:hAnsi="Calibri"/>
          <w:color w:val="000000"/>
          <w:kern w:val="0"/>
          <w:sz w:val="22"/>
          <w:szCs w:val="22"/>
          <w:shd w:fill="auto" w:val="clear"/>
          <w:lang w:val="pt-BR" w:eastAsia="pt-BR" w:bidi="ar-SA"/>
        </w:rPr>
        <w:t>30</w:t>
      </w:r>
      <w:r>
        <w:rPr>
          <w:rFonts w:eastAsia="Arial" w:cs="Arial" w:ascii="Calibri" w:hAnsi="Calibri"/>
          <w:sz w:val="22"/>
          <w:szCs w:val="22"/>
          <w:shd w:fill="auto" w:val="clear"/>
        </w:rPr>
        <w:t>% (trinta por cento) do valor do Contrato.</w:t>
      </w:r>
    </w:p>
    <w:p>
      <w:pPr>
        <w:pStyle w:val="Normal"/>
        <w:numPr>
          <w:ilvl w:val="3"/>
          <w:numId w:val="5"/>
        </w:numPr>
        <w:suppressAutoHyphens w:val="true"/>
        <w:spacing w:lineRule="auto" w:line="312" w:before="120" w:after="288"/>
        <w:ind w:left="1843" w:firstLine="284"/>
        <w:contextualSpacing/>
        <w:jc w:val="both"/>
        <w:rPr>
          <w:sz w:val="22"/>
          <w:szCs w:val="22"/>
        </w:rPr>
      </w:pPr>
      <w:r>
        <w:rPr>
          <w:rFonts w:eastAsia="Arial" w:cs="Arial" w:ascii="Calibri" w:hAnsi="Calibri"/>
          <w:sz w:val="22"/>
          <w:szCs w:val="22"/>
          <w:shd w:fill="auto" w:val="clear"/>
        </w:rPr>
        <w:t xml:space="preserve">Compensatória, para a inexecução total do contrato prevista na alínea “c” do subitem 12.1, de </w:t>
      </w:r>
      <w:r>
        <w:rPr>
          <w:rFonts w:eastAsia="Arial" w:cs="Arial" w:ascii="Calibri" w:hAnsi="Calibri"/>
          <w:color w:val="000000"/>
          <w:kern w:val="0"/>
          <w:sz w:val="22"/>
          <w:szCs w:val="22"/>
          <w:shd w:fill="auto" w:val="clear"/>
          <w:lang w:val="pt-BR" w:eastAsia="pt-BR" w:bidi="ar-SA"/>
        </w:rPr>
        <w:t>30</w:t>
      </w:r>
      <w:r>
        <w:rPr>
          <w:rFonts w:eastAsia="Arial" w:cs="Arial" w:ascii="Calibri" w:hAnsi="Calibri"/>
          <w:sz w:val="22"/>
          <w:szCs w:val="22"/>
          <w:shd w:fill="auto" w:val="clear"/>
        </w:rPr>
        <w:t xml:space="preserve">% (trinta por cento) do valor do Contrato. </w:t>
      </w:r>
    </w:p>
    <w:p>
      <w:pPr>
        <w:pStyle w:val="Normal"/>
        <w:numPr>
          <w:ilvl w:val="3"/>
          <w:numId w:val="5"/>
        </w:numPr>
        <w:suppressAutoHyphens w:val="true"/>
        <w:spacing w:lineRule="auto" w:line="312" w:before="120" w:after="288"/>
        <w:ind w:left="1843" w:firstLine="284"/>
        <w:contextualSpacing/>
        <w:jc w:val="both"/>
        <w:rPr>
          <w:sz w:val="22"/>
          <w:szCs w:val="22"/>
        </w:rPr>
      </w:pPr>
      <w:r>
        <w:rPr>
          <w:rFonts w:eastAsia="Arial" w:cs="Arial" w:ascii="Calibri" w:hAnsi="Calibri"/>
          <w:sz w:val="22"/>
          <w:szCs w:val="22"/>
          <w:shd w:fill="auto" w:val="clear"/>
        </w:rPr>
        <w:t xml:space="preserve">Para infração descrita na alínea “b” do subitem 12.1, a multa será de </w:t>
      </w:r>
      <w:r>
        <w:rPr>
          <w:rFonts w:eastAsia="Arial" w:cs="Arial" w:ascii="Calibri" w:hAnsi="Calibri"/>
          <w:color w:val="000000"/>
          <w:kern w:val="0"/>
          <w:sz w:val="22"/>
          <w:szCs w:val="22"/>
          <w:shd w:fill="auto" w:val="clear"/>
          <w:lang w:val="pt-BR" w:eastAsia="pt-BR" w:bidi="ar-SA"/>
        </w:rPr>
        <w:t>30</w:t>
      </w:r>
      <w:r>
        <w:rPr>
          <w:rFonts w:eastAsia="Arial" w:cs="Arial" w:ascii="Calibri" w:hAnsi="Calibri"/>
          <w:sz w:val="22"/>
          <w:szCs w:val="22"/>
          <w:shd w:fill="auto" w:val="clear"/>
        </w:rPr>
        <w:t>% (trinta por cento)  do valor do Contrato.</w:t>
      </w:r>
    </w:p>
    <w:p>
      <w:pPr>
        <w:pStyle w:val="Normal"/>
        <w:numPr>
          <w:ilvl w:val="3"/>
          <w:numId w:val="5"/>
        </w:numPr>
        <w:suppressAutoHyphens w:val="true"/>
        <w:spacing w:lineRule="auto" w:line="312" w:before="120" w:after="288"/>
        <w:ind w:left="1843" w:firstLine="284"/>
        <w:contextualSpacing/>
        <w:jc w:val="both"/>
        <w:rPr>
          <w:sz w:val="22"/>
          <w:szCs w:val="22"/>
        </w:rPr>
      </w:pPr>
      <w:r>
        <w:rPr>
          <w:rFonts w:eastAsia="Arial" w:cs="Arial" w:ascii="Calibri" w:hAnsi="Calibri"/>
          <w:sz w:val="22"/>
          <w:szCs w:val="22"/>
          <w:shd w:fill="auto" w:val="clear"/>
        </w:rPr>
        <w:t xml:space="preserve">Para infrações descritas na alínea “d” do subitem 12.1, a multa será de </w:t>
      </w:r>
      <w:r>
        <w:rPr>
          <w:rFonts w:eastAsia="Arial" w:cs="Arial" w:ascii="Calibri" w:hAnsi="Calibri"/>
          <w:color w:val="000000"/>
          <w:kern w:val="0"/>
          <w:sz w:val="22"/>
          <w:szCs w:val="22"/>
          <w:shd w:fill="auto" w:val="clear"/>
          <w:lang w:val="pt-BR" w:eastAsia="pt-BR" w:bidi="ar-SA"/>
        </w:rPr>
        <w:t>30</w:t>
      </w:r>
      <w:r>
        <w:rPr>
          <w:rFonts w:eastAsia="Arial" w:cs="Arial" w:ascii="Calibri" w:hAnsi="Calibri"/>
          <w:sz w:val="22"/>
          <w:szCs w:val="22"/>
          <w:shd w:fill="auto" w:val="clear"/>
        </w:rPr>
        <w:t>% (trinta por cento)  do valor do Contrato.</w:t>
      </w:r>
    </w:p>
    <w:p>
      <w:pPr>
        <w:pStyle w:val="Normal"/>
        <w:numPr>
          <w:ilvl w:val="3"/>
          <w:numId w:val="5"/>
        </w:numPr>
        <w:suppressAutoHyphens w:val="true"/>
        <w:spacing w:lineRule="auto" w:line="312" w:before="120" w:after="288"/>
        <w:ind w:left="1843" w:firstLine="284"/>
        <w:contextualSpacing/>
        <w:jc w:val="both"/>
        <w:rPr>
          <w:sz w:val="22"/>
          <w:szCs w:val="22"/>
        </w:rPr>
      </w:pPr>
      <w:r>
        <w:rPr>
          <w:rFonts w:eastAsia="Arial" w:cs="Arial" w:ascii="Calibri" w:hAnsi="Calibri"/>
          <w:sz w:val="22"/>
          <w:szCs w:val="22"/>
          <w:shd w:fill="auto" w:val="clear"/>
        </w:rPr>
        <w:t xml:space="preserve">Para a infração descrita na alínea “a” do subitem 12.1, a multa será de </w:t>
      </w:r>
      <w:r>
        <w:rPr>
          <w:rFonts w:eastAsia="Arial" w:cs="Arial" w:ascii="Calibri" w:hAnsi="Calibri"/>
          <w:color w:val="000000"/>
          <w:kern w:val="0"/>
          <w:sz w:val="22"/>
          <w:szCs w:val="22"/>
          <w:shd w:fill="auto" w:val="clear"/>
          <w:lang w:val="pt-BR" w:eastAsia="pt-BR" w:bidi="ar-SA"/>
        </w:rPr>
        <w:t>30</w:t>
      </w:r>
      <w:r>
        <w:rPr>
          <w:rFonts w:eastAsia="Arial" w:cs="Arial" w:ascii="Calibri" w:hAnsi="Calibri"/>
          <w:sz w:val="22"/>
          <w:szCs w:val="22"/>
          <w:shd w:fill="auto" w:val="clear"/>
        </w:rPr>
        <w:t>% (trinta por cento) do valor do Contrato, ressalvadas as seguintes infrações:</w:t>
      </w:r>
    </w:p>
    <w:p>
      <w:pPr>
        <w:pStyle w:val="Normal"/>
        <w:suppressAutoHyphens w:val="true"/>
        <w:spacing w:lineRule="auto" w:line="312" w:before="120" w:after="288"/>
        <w:ind w:left="2880" w:hanging="0"/>
        <w:contextualSpacing/>
        <w:jc w:val="both"/>
        <w:rPr>
          <w:sz w:val="22"/>
          <w:szCs w:val="22"/>
        </w:rPr>
      </w:pPr>
      <w:r>
        <w:rPr>
          <w:sz w:val="22"/>
          <w:szCs w:val="22"/>
          <w:shd w:fill="auto" w:val="clear"/>
        </w:rPr>
      </w:r>
    </w:p>
    <w:p>
      <w:pPr>
        <w:pStyle w:val="Nivel2"/>
        <w:numPr>
          <w:ilvl w:val="1"/>
          <w:numId w:val="242"/>
        </w:numPr>
        <w:spacing w:lineRule="auto" w:line="312" w:before="120" w:after="288"/>
        <w:ind w:left="0" w:firstLine="709"/>
        <w:rPr/>
      </w:pPr>
      <w:r>
        <w:rPr>
          <w:rFonts w:ascii="Calibri" w:hAnsi="Calibri"/>
          <w:sz w:val="22"/>
          <w:szCs w:val="22"/>
          <w:shd w:fill="auto" w:val="clear"/>
        </w:rPr>
        <w:t>A aplicação das sanções previstas neste Contrato não exclui, em hipótese alguma, a obrigação de reparação integral do dano causado ao Contratante (</w:t>
      </w:r>
      <w:r>
        <w:fldChar w:fldCharType="begin"/>
      </w:r>
      <w:r>
        <w:rPr>
          <w:rStyle w:val="LinkdaInternet"/>
          <w:sz w:val="22"/>
          <w:szCs w:val="22"/>
          <w:rFonts w:ascii="Calibri" w:hAnsi="Calibri"/>
        </w:rPr>
        <w:instrText> HYPERLINK "http://www.planalto.gov.br/ccivil_03/_ato2019-2022/2021/lei/L14133.htm" \l "art156§9"</w:instrText>
      </w:r>
      <w:r>
        <w:rPr>
          <w:rStyle w:val="LinkdaInternet"/>
          <w:sz w:val="22"/>
          <w:szCs w:val="22"/>
          <w:rFonts w:ascii="Calibri" w:hAnsi="Calibri"/>
        </w:rPr>
        <w:fldChar w:fldCharType="separate"/>
      </w:r>
      <w:r>
        <w:rPr>
          <w:rStyle w:val="LinkdaInternet"/>
          <w:rFonts w:ascii="Calibri" w:hAnsi="Calibri"/>
          <w:sz w:val="22"/>
          <w:szCs w:val="22"/>
        </w:rPr>
        <w:t>art. 156, §9º,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43"/>
        </w:numPr>
        <w:spacing w:lineRule="auto" w:line="312" w:before="120" w:after="288"/>
        <w:ind w:left="0" w:firstLine="709"/>
        <w:rPr/>
      </w:pPr>
      <w:r>
        <w:rPr>
          <w:rFonts w:ascii="Calibri" w:hAnsi="Calibri"/>
          <w:sz w:val="22"/>
          <w:szCs w:val="22"/>
          <w:shd w:fill="auto" w:val="clear"/>
        </w:rPr>
        <w:t>Todas as sanções previstas neste Contrato poderão ser aplicadas cumulativamente com a multa (</w:t>
      </w:r>
      <w:r>
        <w:fldChar w:fldCharType="begin"/>
      </w:r>
      <w:r>
        <w:rPr>
          <w:rStyle w:val="LinkdaInternet"/>
          <w:sz w:val="22"/>
          <w:szCs w:val="22"/>
          <w:rFonts w:ascii="Calibri" w:hAnsi="Calibri"/>
        </w:rPr>
        <w:instrText> HYPERLINK "http://www.planalto.gov.br/ccivil_03/_ato2019-2022/2021/lei/L14133.htm" \l "art156§7"</w:instrText>
      </w:r>
      <w:r>
        <w:rPr>
          <w:rStyle w:val="LinkdaInternet"/>
          <w:sz w:val="22"/>
          <w:szCs w:val="22"/>
          <w:rFonts w:ascii="Calibri" w:hAnsi="Calibri"/>
        </w:rPr>
        <w:fldChar w:fldCharType="separate"/>
      </w:r>
      <w:r>
        <w:rPr>
          <w:rStyle w:val="LinkdaInternet"/>
          <w:rFonts w:ascii="Calibri" w:hAnsi="Calibri"/>
          <w:sz w:val="22"/>
          <w:szCs w:val="22"/>
        </w:rPr>
        <w:t>art. 156, §7º,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3"/>
        <w:numPr>
          <w:ilvl w:val="2"/>
          <w:numId w:val="244"/>
        </w:numPr>
        <w:spacing w:lineRule="auto" w:line="312" w:before="120" w:after="288"/>
        <w:ind w:left="170" w:firstLine="709"/>
        <w:rPr/>
      </w:pPr>
      <w:r>
        <w:rPr>
          <w:rFonts w:ascii="Calibri" w:hAnsi="Calibri"/>
          <w:sz w:val="22"/>
          <w:szCs w:val="22"/>
          <w:shd w:fill="auto" w:val="clear"/>
        </w:rPr>
        <w:t>Antes da aplicação da multa será facultada a defesa do interessado no prazo de 15 (quinze) dias úteis, contado da data de sua intimação (</w:t>
      </w:r>
      <w:r>
        <w:fldChar w:fldCharType="begin"/>
      </w:r>
      <w:r>
        <w:rPr>
          <w:rStyle w:val="LinkdaInternet"/>
          <w:sz w:val="22"/>
          <w:szCs w:val="22"/>
          <w:rFonts w:ascii="Calibri" w:hAnsi="Calibri"/>
        </w:rPr>
        <w:instrText> HYPERLINK "http://www.planalto.gov.br/ccivil_03/_ato2019-2022/2021/lei/L14133.htm" \l "art157"</w:instrText>
      </w:r>
      <w:r>
        <w:rPr>
          <w:rStyle w:val="LinkdaInternet"/>
          <w:sz w:val="22"/>
          <w:szCs w:val="22"/>
          <w:rFonts w:ascii="Calibri" w:hAnsi="Calibri"/>
        </w:rPr>
        <w:fldChar w:fldCharType="separate"/>
      </w:r>
      <w:r>
        <w:rPr>
          <w:rStyle w:val="LinkdaInternet"/>
          <w:rFonts w:ascii="Calibri" w:hAnsi="Calibri"/>
          <w:sz w:val="22"/>
          <w:szCs w:val="22"/>
        </w:rPr>
        <w:t>art. 157,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3"/>
        <w:numPr>
          <w:ilvl w:val="2"/>
          <w:numId w:val="245"/>
        </w:numPr>
        <w:spacing w:lineRule="auto" w:line="312" w:before="120" w:after="288"/>
        <w:ind w:left="170" w:firstLine="709"/>
        <w:rPr/>
      </w:pPr>
      <w:r>
        <w:rPr>
          <w:rFonts w:ascii="Calibri" w:hAnsi="Calibri"/>
          <w:sz w:val="22"/>
          <w:szCs w:val="22"/>
          <w:shd w:fill="auto" w:val="clea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2"/>
          <w:szCs w:val="22"/>
          <w:rFonts w:ascii="Calibri" w:hAnsi="Calibri"/>
        </w:rPr>
        <w:instrText> HYPERLINK "http://www.planalto.gov.br/ccivil_03/_ato2019-2022/2021/lei/L14133.htm" \l "art156§8"</w:instrText>
      </w:r>
      <w:r>
        <w:rPr>
          <w:rStyle w:val="LinkdaInternet"/>
          <w:sz w:val="22"/>
          <w:szCs w:val="22"/>
          <w:rFonts w:ascii="Calibri" w:hAnsi="Calibri"/>
        </w:rPr>
        <w:fldChar w:fldCharType="separate"/>
      </w:r>
      <w:r>
        <w:rPr>
          <w:rStyle w:val="LinkdaInternet"/>
          <w:rFonts w:ascii="Calibri" w:hAnsi="Calibri"/>
          <w:sz w:val="22"/>
          <w:szCs w:val="22"/>
        </w:rPr>
        <w:t>art. 156, §8º,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3"/>
        <w:numPr>
          <w:ilvl w:val="2"/>
          <w:numId w:val="246"/>
        </w:numPr>
        <w:spacing w:lineRule="auto" w:line="312" w:before="120" w:after="288"/>
        <w:ind w:left="170" w:firstLine="709"/>
        <w:rPr>
          <w:sz w:val="22"/>
          <w:szCs w:val="22"/>
        </w:rPr>
      </w:pPr>
      <w:r>
        <w:rPr>
          <w:rFonts w:ascii="Calibri" w:hAnsi="Calibri"/>
          <w:sz w:val="22"/>
          <w:szCs w:val="22"/>
          <w:shd w:fill="auto" w:val="clear"/>
        </w:rPr>
        <w:t>Previamente ao encaminhamento à cobrança judicial, a multa poderá ser recolhida administrativamente no prazo máximo</w:t>
      </w:r>
      <w:r>
        <w:rPr>
          <w:rFonts w:ascii="Calibri" w:hAnsi="Calibri"/>
          <w:color w:val="000000"/>
          <w:sz w:val="22"/>
          <w:szCs w:val="22"/>
          <w:shd w:fill="auto" w:val="clear"/>
        </w:rPr>
        <w:t xml:space="preserve"> de 20 </w:t>
      </w:r>
      <w:r>
        <w:rPr>
          <w:rFonts w:ascii="Calibri" w:hAnsi="Calibri"/>
          <w:i/>
          <w:iCs/>
          <w:color w:val="000000"/>
          <w:sz w:val="22"/>
          <w:szCs w:val="22"/>
          <w:shd w:fill="auto" w:val="clear"/>
        </w:rPr>
        <w:t xml:space="preserve">(vinte) </w:t>
      </w:r>
      <w:r>
        <w:rPr>
          <w:rFonts w:ascii="Calibri" w:hAnsi="Calibri"/>
          <w:color w:val="000000"/>
          <w:sz w:val="22"/>
          <w:szCs w:val="22"/>
          <w:shd w:fill="auto" w:val="clear"/>
        </w:rPr>
        <w:t>dias, a contar da data do recebimento da comunicação enviada pela autoridade competente.</w:t>
      </w:r>
      <w:bookmarkStart w:id="6" w:name="_Hlk78351618"/>
      <w:bookmarkEnd w:id="6"/>
    </w:p>
    <w:p>
      <w:pPr>
        <w:pStyle w:val="Nivel2"/>
        <w:numPr>
          <w:ilvl w:val="1"/>
          <w:numId w:val="247"/>
        </w:numPr>
        <w:spacing w:lineRule="auto" w:line="312" w:before="120" w:after="288"/>
        <w:ind w:left="0" w:firstLine="709"/>
        <w:rPr/>
      </w:pPr>
      <w:r>
        <w:rPr>
          <w:rFonts w:ascii="Calibri" w:hAnsi="Calibri"/>
          <w:sz w:val="22"/>
          <w:szCs w:val="22"/>
          <w:shd w:fill="auto" w:val="clear"/>
        </w:rPr>
        <w:t xml:space="preserve">A aplicação das sanções realizar-se-á em processo administrativo que assegure o contraditório e a ampla defesa ao Contratado, observando-se o procedimento previsto no </w:t>
      </w:r>
      <w:r>
        <w:rPr>
          <w:rFonts w:ascii="Calibri" w:hAnsi="Calibri"/>
          <w:b/>
          <w:bCs/>
          <w:sz w:val="22"/>
          <w:szCs w:val="22"/>
          <w:shd w:fill="auto" w:val="clear"/>
        </w:rPr>
        <w:t xml:space="preserve">caput </w:t>
      </w:r>
      <w:r>
        <w:rPr>
          <w:rFonts w:ascii="Calibri" w:hAnsi="Calibri"/>
          <w:sz w:val="22"/>
          <w:szCs w:val="22"/>
          <w:shd w:fill="auto" w:val="clear"/>
        </w:rPr>
        <w:t xml:space="preserve">e parágrafos do </w:t>
      </w:r>
      <w:r>
        <w:fldChar w:fldCharType="begin"/>
      </w:r>
      <w:r>
        <w:rPr>
          <w:rStyle w:val="LinkdaInternet"/>
          <w:sz w:val="22"/>
          <w:szCs w:val="22"/>
          <w:rFonts w:ascii="Calibri" w:hAnsi="Calibri"/>
        </w:rPr>
        <w:instrText> HYPERLINK "http://www.planalto.gov.br/ccivil_03/_ato2019-2022/2021/lei/L14133.htm" \l "art158"</w:instrText>
      </w:r>
      <w:r>
        <w:rPr>
          <w:rStyle w:val="LinkdaInternet"/>
          <w:sz w:val="22"/>
          <w:szCs w:val="22"/>
          <w:rFonts w:ascii="Calibri" w:hAnsi="Calibri"/>
        </w:rPr>
        <w:fldChar w:fldCharType="separate"/>
      </w:r>
      <w:r>
        <w:rPr>
          <w:rStyle w:val="LinkdaInternet"/>
          <w:rFonts w:ascii="Calibri" w:hAnsi="Calibri"/>
          <w:sz w:val="22"/>
          <w:szCs w:val="22"/>
        </w:rPr>
        <w:t>art. 158 da Lei nº 14.133, de 2021</w:t>
      </w:r>
      <w:r>
        <w:rPr>
          <w:rStyle w:val="LinkdaInternet"/>
          <w:sz w:val="22"/>
          <w:szCs w:val="22"/>
          <w:rFonts w:ascii="Calibri" w:hAnsi="Calibri"/>
        </w:rPr>
        <w:fldChar w:fldCharType="end"/>
      </w:r>
      <w:r>
        <w:rPr>
          <w:rFonts w:ascii="Calibri" w:hAnsi="Calibri"/>
          <w:sz w:val="22"/>
          <w:szCs w:val="22"/>
          <w:shd w:fill="auto" w:val="clear"/>
        </w:rPr>
        <w:t>, para as penalidades de impedimento de licitar e contratar e de declaração de inidoneidade para licitar ou contratar.</w:t>
      </w:r>
    </w:p>
    <w:p>
      <w:pPr>
        <w:pStyle w:val="Nivel2"/>
        <w:numPr>
          <w:ilvl w:val="1"/>
          <w:numId w:val="248"/>
        </w:numPr>
        <w:spacing w:lineRule="auto" w:line="312" w:before="120" w:after="288"/>
        <w:ind w:left="0" w:firstLine="709"/>
        <w:rPr/>
      </w:pPr>
      <w:r>
        <w:rPr>
          <w:rFonts w:ascii="Calibri" w:hAnsi="Calibri"/>
          <w:sz w:val="22"/>
          <w:szCs w:val="22"/>
          <w:shd w:fill="auto" w:val="clear"/>
        </w:rPr>
        <w:t>Na aplicação das sanções serão considerados (</w:t>
      </w:r>
      <w:r>
        <w:fldChar w:fldCharType="begin"/>
      </w:r>
      <w:r>
        <w:rPr>
          <w:rStyle w:val="LinkdaInternet"/>
          <w:sz w:val="22"/>
          <w:szCs w:val="22"/>
          <w:rFonts w:ascii="Calibri" w:hAnsi="Calibri"/>
        </w:rPr>
        <w:instrText> HYPERLINK "http://www.planalto.gov.br/ccivil_03/_ato2019-2022/2021/lei/L14133.htm" \l "art156§1"</w:instrText>
      </w:r>
      <w:r>
        <w:rPr>
          <w:rStyle w:val="LinkdaInternet"/>
          <w:sz w:val="22"/>
          <w:szCs w:val="22"/>
          <w:rFonts w:ascii="Calibri" w:hAnsi="Calibri"/>
        </w:rPr>
        <w:fldChar w:fldCharType="separate"/>
      </w:r>
      <w:r>
        <w:rPr>
          <w:rStyle w:val="LinkdaInternet"/>
          <w:rFonts w:ascii="Calibri" w:hAnsi="Calibri"/>
          <w:sz w:val="22"/>
          <w:szCs w:val="22"/>
        </w:rPr>
        <w:t>art. 156, §1º,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ormal"/>
        <w:numPr>
          <w:ilvl w:val="0"/>
          <w:numId w:val="1"/>
        </w:numPr>
        <w:suppressAutoHyphens w:val="true"/>
        <w:spacing w:lineRule="auto" w:line="312" w:before="120" w:after="288"/>
        <w:ind w:left="924" w:firstLine="851"/>
        <w:contextualSpacing/>
        <w:jc w:val="both"/>
        <w:rPr>
          <w:sz w:val="22"/>
          <w:szCs w:val="22"/>
        </w:rPr>
      </w:pPr>
      <w:r>
        <w:rPr>
          <w:rFonts w:eastAsia="Arial" w:cs="Arial" w:ascii="Calibri" w:hAnsi="Calibri"/>
          <w:sz w:val="22"/>
          <w:szCs w:val="22"/>
          <w:shd w:fill="auto" w:val="clear"/>
        </w:rPr>
        <w:t>a natureza e a gravidade da infração cometida;</w:t>
      </w:r>
    </w:p>
    <w:p>
      <w:pPr>
        <w:pStyle w:val="Normal"/>
        <w:numPr>
          <w:ilvl w:val="0"/>
          <w:numId w:val="1"/>
        </w:numPr>
        <w:suppressAutoHyphens w:val="true"/>
        <w:spacing w:lineRule="auto" w:line="312" w:before="120" w:after="288"/>
        <w:ind w:left="924" w:firstLine="851"/>
        <w:contextualSpacing/>
        <w:jc w:val="both"/>
        <w:rPr>
          <w:sz w:val="22"/>
          <w:szCs w:val="22"/>
        </w:rPr>
      </w:pPr>
      <w:r>
        <w:rPr>
          <w:rFonts w:eastAsia="Arial" w:cs="Arial" w:ascii="Calibri" w:hAnsi="Calibri"/>
          <w:sz w:val="22"/>
          <w:szCs w:val="22"/>
          <w:shd w:fill="auto" w:val="clear"/>
        </w:rPr>
        <w:t>as peculiaridades do caso concreto;</w:t>
      </w:r>
    </w:p>
    <w:p>
      <w:pPr>
        <w:pStyle w:val="Normal"/>
        <w:numPr>
          <w:ilvl w:val="0"/>
          <w:numId w:val="1"/>
        </w:numPr>
        <w:suppressAutoHyphens w:val="true"/>
        <w:spacing w:lineRule="auto" w:line="312" w:before="120" w:after="288"/>
        <w:ind w:left="924" w:firstLine="851"/>
        <w:contextualSpacing/>
        <w:jc w:val="both"/>
        <w:rPr>
          <w:sz w:val="22"/>
          <w:szCs w:val="22"/>
        </w:rPr>
      </w:pPr>
      <w:r>
        <w:rPr>
          <w:rFonts w:eastAsia="Arial" w:cs="Arial" w:ascii="Calibri" w:hAnsi="Calibri"/>
          <w:sz w:val="22"/>
          <w:szCs w:val="22"/>
          <w:shd w:fill="auto" w:val="clear"/>
        </w:rPr>
        <w:t>as circunstâncias agravantes ou atenuantes;</w:t>
      </w:r>
    </w:p>
    <w:p>
      <w:pPr>
        <w:pStyle w:val="Normal"/>
        <w:numPr>
          <w:ilvl w:val="0"/>
          <w:numId w:val="1"/>
        </w:numPr>
        <w:suppressAutoHyphens w:val="true"/>
        <w:spacing w:lineRule="auto" w:line="312" w:before="120" w:after="288"/>
        <w:ind w:left="924" w:firstLine="851"/>
        <w:contextualSpacing/>
        <w:jc w:val="both"/>
        <w:rPr>
          <w:sz w:val="22"/>
          <w:szCs w:val="22"/>
        </w:rPr>
      </w:pPr>
      <w:r>
        <w:rPr>
          <w:rFonts w:eastAsia="Arial" w:cs="Arial" w:ascii="Calibri" w:hAnsi="Calibri"/>
          <w:sz w:val="22"/>
          <w:szCs w:val="22"/>
          <w:shd w:fill="auto" w:val="clear"/>
        </w:rPr>
        <w:t>os danos que dela provierem para o Contratante;</w:t>
      </w:r>
    </w:p>
    <w:p>
      <w:pPr>
        <w:pStyle w:val="Normal"/>
        <w:numPr>
          <w:ilvl w:val="0"/>
          <w:numId w:val="1"/>
        </w:numPr>
        <w:suppressAutoHyphens w:val="true"/>
        <w:spacing w:lineRule="auto" w:line="312" w:before="120" w:after="288"/>
        <w:ind w:left="924" w:firstLine="851"/>
        <w:contextualSpacing/>
        <w:jc w:val="both"/>
        <w:rPr>
          <w:sz w:val="22"/>
          <w:szCs w:val="22"/>
        </w:rPr>
      </w:pPr>
      <w:r>
        <w:rPr>
          <w:rFonts w:eastAsia="Arial" w:cs="Arial" w:ascii="Calibri" w:hAnsi="Calibri"/>
          <w:sz w:val="22"/>
          <w:szCs w:val="22"/>
          <w:shd w:fill="auto" w:val="clear"/>
        </w:rPr>
        <w:t>a implantação ou o aperfeiçoamento de programa de integridade, conforme normas e orientações dos órgãos de controle.</w:t>
      </w:r>
    </w:p>
    <w:p>
      <w:pPr>
        <w:pStyle w:val="Nivel2"/>
        <w:numPr>
          <w:ilvl w:val="1"/>
          <w:numId w:val="249"/>
        </w:numPr>
        <w:spacing w:lineRule="auto" w:line="312" w:before="120" w:after="288"/>
        <w:ind w:left="0" w:firstLine="709"/>
        <w:rPr/>
      </w:pPr>
      <w:r>
        <w:rPr>
          <w:rFonts w:ascii="Calibri" w:hAnsi="Calibri"/>
          <w:sz w:val="22"/>
          <w:szCs w:val="22"/>
          <w:shd w:fill="auto" w:val="clear"/>
        </w:rPr>
        <w:t xml:space="preserve">Os atos previstos como infrações administrativas na </w:t>
      </w:r>
      <w:hyperlink r:id="rId7">
        <w:r>
          <w:rPr>
            <w:rStyle w:val="LinkdaInternet"/>
            <w:rFonts w:ascii="Calibri" w:hAnsi="Calibri"/>
            <w:sz w:val="22"/>
            <w:szCs w:val="22"/>
          </w:rPr>
          <w:t>Lei nº 14.133, de 2021</w:t>
        </w:r>
      </w:hyperlink>
      <w:r>
        <w:rPr>
          <w:rFonts w:ascii="Calibri" w:hAnsi="Calibri"/>
          <w:sz w:val="22"/>
          <w:szCs w:val="22"/>
          <w:shd w:fill="auto" w:val="clear"/>
        </w:rPr>
        <w:t xml:space="preserve">, ou em outras leis de licitações e contratos da Administração Pública que também sejam tipificados como atos lesivos </w:t>
      </w:r>
      <w:hyperlink r:id="rId8">
        <w:r>
          <w:rPr>
            <w:rStyle w:val="LinkdaInternet"/>
            <w:rFonts w:ascii="Calibri" w:hAnsi="Calibri"/>
            <w:sz w:val="22"/>
            <w:szCs w:val="22"/>
          </w:rPr>
          <w:t>na Lei nº 12.846, de 2013</w:t>
        </w:r>
      </w:hyperlink>
      <w:r>
        <w:rPr>
          <w:rFonts w:ascii="Calibri" w:hAnsi="Calibri"/>
          <w:sz w:val="22"/>
          <w:szCs w:val="22"/>
          <w:shd w:fill="auto" w:val="clear"/>
        </w:rPr>
        <w:t xml:space="preserve">, serão apurados e julgados conjuntamente, nos mesmos autos, observados o rito procedimental e autoridade competente definidos na referida </w:t>
      </w:r>
      <w:r>
        <w:fldChar w:fldCharType="begin"/>
      </w:r>
      <w:r>
        <w:rPr>
          <w:rStyle w:val="LinkdaInternet"/>
          <w:sz w:val="22"/>
          <w:szCs w:val="22"/>
          <w:rFonts w:ascii="Calibri" w:hAnsi="Calibri"/>
        </w:rPr>
        <w:instrText> HYPERLINK "http://www.planalto.gov.br/ccivil_03/_ato2019-2022/2021/lei/L14133.htm" \l "art159"</w:instrText>
      </w:r>
      <w:r>
        <w:rPr>
          <w:rStyle w:val="LinkdaInternet"/>
          <w:sz w:val="22"/>
          <w:szCs w:val="22"/>
          <w:rFonts w:ascii="Calibri" w:hAnsi="Calibri"/>
        </w:rPr>
        <w:fldChar w:fldCharType="separate"/>
      </w:r>
      <w:r>
        <w:rPr>
          <w:rStyle w:val="LinkdaInternet"/>
          <w:rFonts w:ascii="Calibri" w:hAnsi="Calibri"/>
          <w:sz w:val="22"/>
          <w:szCs w:val="22"/>
        </w:rPr>
        <w:t>Lei (art. 159</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50"/>
        </w:numPr>
        <w:spacing w:lineRule="auto" w:line="312" w:before="120" w:after="288"/>
        <w:ind w:left="0" w:firstLine="709"/>
        <w:rPr/>
      </w:pPr>
      <w:r>
        <w:rPr>
          <w:rFonts w:ascii="Calibri" w:hAnsi="Calibri"/>
          <w:sz w:val="22"/>
          <w:szCs w:val="22"/>
          <w:shd w:fill="auto" w:val="clea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2"/>
          <w:szCs w:val="22"/>
          <w:rFonts w:ascii="Calibri" w:hAnsi="Calibri"/>
        </w:rPr>
        <w:instrText> HYPERLINK "http://www.planalto.gov.br/ccivil_03/_ato2019-2022/2021/lei/L14133.htm" \l "art160"</w:instrText>
      </w:r>
      <w:r>
        <w:rPr>
          <w:rStyle w:val="LinkdaInternet"/>
          <w:sz w:val="22"/>
          <w:szCs w:val="22"/>
          <w:rFonts w:ascii="Calibri" w:hAnsi="Calibri"/>
        </w:rPr>
        <w:fldChar w:fldCharType="separate"/>
      </w:r>
      <w:r>
        <w:rPr>
          <w:rStyle w:val="LinkdaInternet"/>
          <w:rFonts w:ascii="Calibri" w:hAnsi="Calibri"/>
          <w:sz w:val="22"/>
          <w:szCs w:val="22"/>
        </w:rPr>
        <w:t>art. 160,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51"/>
        </w:numPr>
        <w:spacing w:lineRule="auto" w:line="312" w:before="120" w:after="288"/>
        <w:ind w:left="0" w:firstLine="709"/>
        <w:rPr/>
      </w:pPr>
      <w:r>
        <w:rPr>
          <w:rFonts w:ascii="Calibri" w:hAnsi="Calibri"/>
          <w:sz w:val="22"/>
          <w:szCs w:val="22"/>
          <w:shd w:fill="auto" w:val="clear"/>
        </w:rPr>
        <w:t xml:space="preserve"> </w:t>
      </w:r>
      <w:r>
        <w:rPr>
          <w:rFonts w:ascii="Calibri" w:hAnsi="Calibri"/>
          <w:sz w:val="22"/>
          <w:szCs w:val="22"/>
          <w:shd w:fill="auto" w:val="clea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2"/>
          <w:szCs w:val="22"/>
          <w:rFonts w:ascii="Calibri" w:hAnsi="Calibri"/>
        </w:rPr>
        <w:instrText> HYPERLINK "http://www.planalto.gov.br/ccivil_03/_ato2019-2022/2021/lei/L14133.htm" \l "art161"</w:instrText>
      </w:r>
      <w:r>
        <w:rPr>
          <w:rStyle w:val="LinkdaInternet"/>
          <w:sz w:val="22"/>
          <w:szCs w:val="22"/>
          <w:rFonts w:ascii="Calibri" w:hAnsi="Calibri"/>
        </w:rPr>
        <w:fldChar w:fldCharType="separate"/>
      </w:r>
      <w:r>
        <w:rPr>
          <w:rStyle w:val="LinkdaInternet"/>
          <w:rFonts w:ascii="Calibri" w:hAnsi="Calibri"/>
          <w:sz w:val="22"/>
          <w:szCs w:val="22"/>
        </w:rPr>
        <w:t>Art. 161,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52"/>
        </w:numPr>
        <w:spacing w:lineRule="auto" w:line="312" w:before="120" w:after="288"/>
        <w:ind w:left="0" w:firstLine="709"/>
        <w:rPr/>
      </w:pPr>
      <w:r>
        <w:rPr>
          <w:rFonts w:ascii="Calibri" w:hAnsi="Calibri"/>
          <w:sz w:val="22"/>
          <w:szCs w:val="22"/>
          <w:shd w:fill="auto" w:val="clear"/>
        </w:rPr>
        <w:t xml:space="preserve">As sanções de impedimento de licitar e contratar e declaração de inidoneidade para licitar ou contratar são passíveis de reabilitação na forma do </w:t>
      </w:r>
      <w:r>
        <w:fldChar w:fldCharType="begin"/>
      </w:r>
      <w:r>
        <w:rPr>
          <w:rStyle w:val="LinkdaInternet"/>
          <w:sz w:val="22"/>
          <w:szCs w:val="22"/>
          <w:rFonts w:ascii="Calibri" w:hAnsi="Calibri"/>
        </w:rPr>
        <w:instrText> HYPERLINK "http://www.planalto.gov.br/ccivil_03/_ato2019-2022/2021/lei/L14133.htm" \l "art163"</w:instrText>
      </w:r>
      <w:r>
        <w:rPr>
          <w:rStyle w:val="LinkdaInternet"/>
          <w:sz w:val="22"/>
          <w:szCs w:val="22"/>
          <w:rFonts w:ascii="Calibri" w:hAnsi="Calibri"/>
        </w:rPr>
        <w:fldChar w:fldCharType="separate"/>
      </w:r>
      <w:r>
        <w:rPr>
          <w:rStyle w:val="LinkdaInternet"/>
          <w:rFonts w:ascii="Calibri" w:hAnsi="Calibri"/>
          <w:sz w:val="22"/>
          <w:szCs w:val="22"/>
        </w:rPr>
        <w:t>art. 163 da Lei nº 14.133/21.</w:t>
      </w:r>
      <w:r>
        <w:rPr>
          <w:rStyle w:val="LinkdaInternet"/>
          <w:sz w:val="22"/>
          <w:szCs w:val="22"/>
          <w:rFonts w:ascii="Calibri" w:hAnsi="Calibri"/>
        </w:rPr>
        <w:fldChar w:fldCharType="end"/>
      </w:r>
    </w:p>
    <w:p>
      <w:pPr>
        <w:pStyle w:val="Nivel2"/>
        <w:numPr>
          <w:ilvl w:val="1"/>
          <w:numId w:val="253"/>
        </w:numPr>
        <w:spacing w:lineRule="auto" w:line="312" w:before="120" w:after="288"/>
        <w:ind w:left="0" w:firstLine="709"/>
        <w:rPr/>
      </w:pPr>
      <w:r>
        <w:rPr>
          <w:rFonts w:ascii="Calibri" w:hAnsi="Calibri"/>
          <w:sz w:val="22"/>
          <w:szCs w:val="22"/>
          <w:shd w:fill="auto" w:val="clea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Fonts w:ascii="Calibri" w:hAnsi="Calibri"/>
            <w:sz w:val="22"/>
            <w:szCs w:val="22"/>
          </w:rPr>
          <w:t>Instrução Normativa SEGES/ME nº 26, de 13 de abril de 2022</w:t>
        </w:r>
      </w:hyperlink>
      <w:r>
        <w:rPr>
          <w:rFonts w:ascii="Calibri" w:hAnsi="Calibri"/>
          <w:sz w:val="22"/>
          <w:szCs w:val="22"/>
          <w:shd w:fill="auto" w:val="clear"/>
        </w:rPr>
        <w:t xml:space="preserve">. </w:t>
      </w:r>
    </w:p>
    <w:p>
      <w:pPr>
        <w:pStyle w:val="Nivel01"/>
        <w:numPr>
          <w:ilvl w:val="0"/>
          <w:numId w:val="254"/>
        </w:numPr>
        <w:spacing w:lineRule="auto" w:line="312" w:before="120" w:after="288"/>
        <w:ind w:left="0" w:hanging="0"/>
        <w:rPr/>
      </w:pPr>
      <w:r>
        <w:rPr>
          <w:rFonts w:ascii="Calibri" w:hAnsi="Calibri"/>
          <w:sz w:val="22"/>
          <w:szCs w:val="22"/>
          <w:shd w:fill="auto" w:val="clear"/>
        </w:rPr>
        <w:t>CLÁUSU</w:t>
      </w:r>
      <w:r>
        <w:rPr>
          <w:rFonts w:ascii="Calibri" w:hAnsi="Calibri"/>
          <w:color w:val="000000"/>
          <w:sz w:val="22"/>
          <w:szCs w:val="22"/>
          <w:shd w:fill="auto" w:val="clear"/>
        </w:rPr>
        <w:t>LA DÉCIMA TERCEIRA – DA EXTINÇÃO CONTRATUAL (</w:t>
      </w:r>
      <w:r>
        <w:fldChar w:fldCharType="begin"/>
      </w:r>
      <w:r>
        <w:rPr>
          <w:rStyle w:val="LinkdaInternet"/>
          <w:sz w:val="22"/>
          <w:szCs w:val="22"/>
          <w:rFonts w:ascii="Calibri" w:hAnsi="Calibri"/>
          <w:color w:val="000000"/>
        </w:rPr>
        <w:instrText> HYPERLINK "http://www.planalto.gov.br/ccivil_03/_ato2019-2022/2021/lei/L14133.htm" \l "art92"</w:instrText>
      </w:r>
      <w:r>
        <w:rPr>
          <w:rStyle w:val="LinkdaInternet"/>
          <w:sz w:val="22"/>
          <w:szCs w:val="22"/>
          <w:rFonts w:ascii="Calibri" w:hAnsi="Calibri"/>
          <w:color w:val="000000"/>
        </w:rPr>
        <w:fldChar w:fldCharType="separate"/>
      </w:r>
      <w:r>
        <w:rPr>
          <w:rStyle w:val="LinkdaInternet"/>
          <w:rFonts w:ascii="Calibri" w:hAnsi="Calibri"/>
          <w:color w:val="000000"/>
          <w:sz w:val="22"/>
          <w:szCs w:val="22"/>
        </w:rPr>
        <w:t>art. 92, XIX</w:t>
      </w:r>
      <w:r>
        <w:rPr>
          <w:rStyle w:val="LinkdaInternet"/>
          <w:sz w:val="22"/>
          <w:szCs w:val="22"/>
          <w:rFonts w:ascii="Calibri" w:hAnsi="Calibri"/>
          <w:color w:val="000000"/>
        </w:rPr>
        <w:fldChar w:fldCharType="end"/>
      </w:r>
      <w:r>
        <w:rPr>
          <w:rFonts w:ascii="Calibri" w:hAnsi="Calibri"/>
          <w:color w:val="000000"/>
          <w:sz w:val="22"/>
          <w:szCs w:val="22"/>
          <w:shd w:fill="auto" w:val="clear"/>
        </w:rPr>
        <w:t>)</w:t>
      </w:r>
    </w:p>
    <w:p>
      <w:pPr>
        <w:pStyle w:val="Nivel2"/>
        <w:numPr>
          <w:ilvl w:val="1"/>
          <w:numId w:val="255"/>
        </w:numPr>
        <w:spacing w:lineRule="auto" w:line="312" w:before="120" w:after="288"/>
        <w:ind w:left="0" w:firstLine="709"/>
        <w:rPr>
          <w:color w:val="000000"/>
          <w:sz w:val="22"/>
          <w:szCs w:val="22"/>
        </w:rPr>
      </w:pPr>
      <w:r>
        <w:rPr>
          <w:rFonts w:ascii="Calibri" w:hAnsi="Calibri"/>
          <w:i/>
          <w:iCs/>
          <w:color w:val="000000"/>
          <w:sz w:val="22"/>
          <w:szCs w:val="22"/>
          <w:shd w:fill="auto" w:val="clear"/>
        </w:rPr>
        <w:t>O contrato será extinto quando cumpridas as obrigações de ambas as partes, ainda que isso ocorra antes do prazo estipulado para tanto.</w:t>
      </w:r>
    </w:p>
    <w:p>
      <w:pPr>
        <w:pStyle w:val="Nivel2"/>
        <w:numPr>
          <w:ilvl w:val="1"/>
          <w:numId w:val="256"/>
        </w:numPr>
        <w:spacing w:lineRule="auto" w:line="312" w:before="120" w:after="288"/>
        <w:ind w:left="0" w:firstLine="709"/>
        <w:rPr>
          <w:color w:val="000000"/>
          <w:sz w:val="22"/>
          <w:szCs w:val="22"/>
        </w:rPr>
      </w:pPr>
      <w:r>
        <w:rPr>
          <w:rFonts w:ascii="Calibri" w:hAnsi="Calibri"/>
          <w:i/>
          <w:color w:val="000000"/>
          <w:sz w:val="22"/>
          <w:szCs w:val="22"/>
          <w:shd w:fill="auto" w:val="clear"/>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257"/>
        </w:numPr>
        <w:spacing w:lineRule="auto" w:line="312" w:before="120" w:after="288"/>
        <w:ind w:left="0" w:firstLine="709"/>
        <w:rPr>
          <w:color w:val="000000"/>
          <w:sz w:val="22"/>
          <w:szCs w:val="22"/>
        </w:rPr>
      </w:pPr>
      <w:r>
        <w:rPr>
          <w:rFonts w:ascii="Calibri" w:hAnsi="Calibri"/>
          <w:i/>
          <w:color w:val="000000"/>
          <w:sz w:val="22"/>
          <w:szCs w:val="22"/>
          <w:shd w:fill="auto" w:val="clear"/>
        </w:rPr>
        <w:t>Quando a não conclusão do contrato referida no item anterior decorrer de culpa do contratado:</w:t>
      </w:r>
    </w:p>
    <w:p>
      <w:pPr>
        <w:pStyle w:val="ListParagraph"/>
        <w:numPr>
          <w:ilvl w:val="0"/>
          <w:numId w:val="2"/>
        </w:numPr>
        <w:suppressAutoHyphens w:val="true"/>
        <w:spacing w:lineRule="auto" w:line="312" w:before="120" w:after="288"/>
        <w:ind w:left="924" w:firstLine="851"/>
        <w:contextualSpacing/>
        <w:jc w:val="both"/>
        <w:rPr>
          <w:color w:val="000000"/>
          <w:sz w:val="22"/>
          <w:szCs w:val="22"/>
        </w:rPr>
      </w:pPr>
      <w:r>
        <w:rPr>
          <w:rFonts w:eastAsia="Arial" w:cs="Arial" w:ascii="Calibri" w:hAnsi="Calibri"/>
          <w:i/>
          <w:iCs/>
          <w:color w:val="000000"/>
          <w:sz w:val="22"/>
          <w:szCs w:val="22"/>
          <w:shd w:fill="auto" w:val="clear"/>
        </w:rPr>
        <w:t xml:space="preserve">ficará ele constituído em mora, sendo-lhe aplicáveis as respectivas sanções administrativas; e  </w:t>
      </w:r>
    </w:p>
    <w:p>
      <w:pPr>
        <w:pStyle w:val="ListParagraph"/>
        <w:numPr>
          <w:ilvl w:val="0"/>
          <w:numId w:val="2"/>
        </w:numPr>
        <w:suppressAutoHyphens w:val="true"/>
        <w:spacing w:lineRule="auto" w:line="312" w:before="120" w:after="288"/>
        <w:ind w:left="924" w:firstLine="851"/>
        <w:contextualSpacing/>
        <w:jc w:val="both"/>
        <w:rPr>
          <w:color w:val="000000"/>
          <w:sz w:val="22"/>
          <w:szCs w:val="22"/>
        </w:rPr>
      </w:pPr>
      <w:r>
        <w:rPr>
          <w:rFonts w:eastAsia="Arial" w:cs="Arial" w:ascii="Calibri" w:hAnsi="Calibri"/>
          <w:i/>
          <w:iCs/>
          <w:color w:val="000000"/>
          <w:sz w:val="22"/>
          <w:szCs w:val="22"/>
          <w:shd w:fill="auto" w:val="clear"/>
        </w:rPr>
        <w:t>poderá a Administração optar pela extinção do contrato e, nesse caso, adotará as medidas admitidas em lei para a continuidade da execução contratual.</w:t>
      </w:r>
    </w:p>
    <w:p>
      <w:pPr>
        <w:pStyle w:val="Nivel2"/>
        <w:numPr>
          <w:ilvl w:val="1"/>
          <w:numId w:val="258"/>
        </w:numPr>
        <w:spacing w:lineRule="auto" w:line="312" w:before="120" w:after="288"/>
        <w:ind w:left="0" w:firstLine="709"/>
        <w:rPr/>
      </w:pPr>
      <w:r>
        <w:rPr>
          <w:rFonts w:ascii="Calibri" w:hAnsi="Calibri"/>
          <w:color w:val="000000"/>
          <w:sz w:val="22"/>
          <w:szCs w:val="22"/>
          <w:shd w:fill="auto" w:val="clear"/>
        </w:rPr>
        <w:t>O contrato poderá ser extinto antes de cumpridas as obriga</w:t>
      </w:r>
      <w:r>
        <w:rPr>
          <w:rFonts w:ascii="Calibri" w:hAnsi="Calibri"/>
          <w:sz w:val="22"/>
          <w:szCs w:val="22"/>
          <w:shd w:fill="auto" w:val="clear"/>
        </w:rPr>
        <w:t xml:space="preserve">ções nele estipuladas, ou antes do prazo nele fixado, por algum dos motivos previstos no </w:t>
      </w:r>
      <w:r>
        <w:fldChar w:fldCharType="begin"/>
      </w:r>
      <w:r>
        <w:rPr>
          <w:rStyle w:val="LinkdaInternet"/>
          <w:sz w:val="22"/>
          <w:szCs w:val="22"/>
          <w:rFonts w:ascii="Calibri" w:hAnsi="Calibri"/>
        </w:rPr>
        <w:instrText> HYPERLINK "http://www.planalto.gov.br/ccivil_03/_ato2019-2022/2021/lei/L14133.htm" \l "art137"</w:instrText>
      </w:r>
      <w:r>
        <w:rPr>
          <w:rStyle w:val="LinkdaInternet"/>
          <w:sz w:val="22"/>
          <w:szCs w:val="22"/>
          <w:rFonts w:ascii="Calibri" w:hAnsi="Calibri"/>
        </w:rPr>
        <w:fldChar w:fldCharType="separate"/>
      </w:r>
      <w:r>
        <w:rPr>
          <w:rStyle w:val="LinkdaInternet"/>
          <w:rFonts w:ascii="Calibri" w:hAnsi="Calibri"/>
          <w:sz w:val="22"/>
          <w:szCs w:val="22"/>
        </w:rPr>
        <w:t>artigo 137 da Lei nº 14.133/21</w:t>
      </w:r>
      <w:r>
        <w:rPr>
          <w:rStyle w:val="LinkdaInternet"/>
          <w:sz w:val="22"/>
          <w:szCs w:val="22"/>
          <w:rFonts w:ascii="Calibri" w:hAnsi="Calibri"/>
        </w:rPr>
        <w:fldChar w:fldCharType="end"/>
      </w:r>
      <w:r>
        <w:rPr>
          <w:rFonts w:ascii="Calibri" w:hAnsi="Calibri"/>
          <w:sz w:val="22"/>
          <w:szCs w:val="22"/>
          <w:shd w:fill="auto" w:val="clear"/>
        </w:rPr>
        <w:t xml:space="preserve">, bem como amigavelmente, </w:t>
      </w:r>
      <w:r>
        <w:rPr>
          <w:rFonts w:ascii="Calibri" w:hAnsi="Calibri"/>
          <w:color w:val="000000" w:themeColor="text1"/>
          <w:sz w:val="22"/>
          <w:szCs w:val="22"/>
          <w:shd w:fill="auto" w:val="clear"/>
        </w:rPr>
        <w:t>assegurados o contraditório e a ampla defesa</w:t>
      </w:r>
      <w:r>
        <w:rPr>
          <w:rFonts w:ascii="Calibri" w:hAnsi="Calibri"/>
          <w:sz w:val="22"/>
          <w:szCs w:val="22"/>
          <w:shd w:fill="auto" w:val="clear"/>
        </w:rPr>
        <w:t>.</w:t>
      </w:r>
    </w:p>
    <w:p>
      <w:pPr>
        <w:pStyle w:val="Nivel3"/>
        <w:numPr>
          <w:ilvl w:val="2"/>
          <w:numId w:val="259"/>
        </w:numPr>
        <w:spacing w:lineRule="auto" w:line="312" w:before="120" w:after="288"/>
        <w:ind w:left="170" w:firstLine="709"/>
        <w:rPr/>
      </w:pPr>
      <w:r>
        <w:rPr>
          <w:rFonts w:ascii="Calibri" w:hAnsi="Calibri"/>
          <w:sz w:val="22"/>
          <w:szCs w:val="22"/>
          <w:shd w:fill="auto" w:val="clear"/>
        </w:rPr>
        <w:t xml:space="preserve">Nesta hipótese, aplicam-se também os </w:t>
      </w:r>
      <w:r>
        <w:fldChar w:fldCharType="begin"/>
      </w:r>
      <w:r>
        <w:rPr>
          <w:rStyle w:val="LinkdaInternet"/>
          <w:sz w:val="22"/>
          <w:szCs w:val="22"/>
          <w:rFonts w:ascii="Calibri" w:hAnsi="Calibri"/>
        </w:rPr>
        <w:instrText> HYPERLINK "http://www.planalto.gov.br/ccivil_03/_ato2019-2022/2021/lei/L14133.htm" \l "art138"</w:instrText>
      </w:r>
      <w:r>
        <w:rPr>
          <w:rStyle w:val="LinkdaInternet"/>
          <w:sz w:val="22"/>
          <w:szCs w:val="22"/>
          <w:rFonts w:ascii="Calibri" w:hAnsi="Calibri"/>
        </w:rPr>
        <w:fldChar w:fldCharType="separate"/>
      </w:r>
      <w:r>
        <w:rPr>
          <w:rStyle w:val="LinkdaInternet"/>
          <w:rFonts w:ascii="Calibri" w:hAnsi="Calibri"/>
          <w:sz w:val="22"/>
          <w:szCs w:val="22"/>
        </w:rPr>
        <w:t>artigos 138 e 139</w:t>
      </w:r>
      <w:r>
        <w:rPr>
          <w:rStyle w:val="LinkdaInternet"/>
          <w:sz w:val="22"/>
          <w:szCs w:val="22"/>
          <w:rFonts w:ascii="Calibri" w:hAnsi="Calibri"/>
        </w:rPr>
        <w:fldChar w:fldCharType="end"/>
      </w:r>
      <w:r>
        <w:rPr>
          <w:rFonts w:ascii="Calibri" w:hAnsi="Calibri"/>
          <w:sz w:val="22"/>
          <w:szCs w:val="22"/>
          <w:shd w:fill="auto" w:val="clear"/>
        </w:rPr>
        <w:t xml:space="preserve"> da mesma Lei.</w:t>
      </w:r>
    </w:p>
    <w:p>
      <w:pPr>
        <w:pStyle w:val="Nivel3"/>
        <w:numPr>
          <w:ilvl w:val="2"/>
          <w:numId w:val="260"/>
        </w:numPr>
        <w:spacing w:lineRule="auto" w:line="312" w:before="120" w:after="288"/>
        <w:ind w:left="170" w:firstLine="709"/>
        <w:rPr>
          <w:sz w:val="22"/>
          <w:szCs w:val="22"/>
        </w:rPr>
      </w:pPr>
      <w:r>
        <w:rPr>
          <w:rFonts w:ascii="Calibri" w:hAnsi="Calibri"/>
          <w:sz w:val="22"/>
          <w:szCs w:val="22"/>
          <w:shd w:fill="auto" w:val="clear"/>
        </w:rPr>
        <w:t xml:space="preserve">A </w:t>
      </w:r>
      <w:r>
        <w:rPr>
          <w:rFonts w:ascii="Calibri" w:hAnsi="Calibri"/>
          <w:color w:val="000000" w:themeColor="text1"/>
          <w:sz w:val="22"/>
          <w:szCs w:val="22"/>
          <w:shd w:fill="auto" w:val="clear"/>
        </w:rPr>
        <w:t>alteração social ou a modificação da finalidade ou da estrutura da empresa</w:t>
      </w:r>
      <w:r>
        <w:rPr>
          <w:rFonts w:ascii="Calibri" w:hAnsi="Calibri"/>
          <w:sz w:val="22"/>
          <w:szCs w:val="22"/>
          <w:shd w:fill="auto" w:val="clear"/>
        </w:rPr>
        <w:t xml:space="preserve"> não ensejará a extinção se não </w:t>
      </w:r>
      <w:r>
        <w:rPr>
          <w:rFonts w:ascii="Calibri" w:hAnsi="Calibri"/>
          <w:color w:val="000000" w:themeColor="text1"/>
          <w:sz w:val="22"/>
          <w:szCs w:val="22"/>
          <w:shd w:fill="auto" w:val="clear"/>
        </w:rPr>
        <w:t>restringir sua capacidade de concluir o contrato.</w:t>
      </w:r>
    </w:p>
    <w:p>
      <w:pPr>
        <w:pStyle w:val="Nivel4"/>
        <w:numPr>
          <w:ilvl w:val="3"/>
          <w:numId w:val="261"/>
        </w:numPr>
        <w:spacing w:lineRule="auto" w:line="312" w:before="120" w:after="288"/>
        <w:ind w:left="284" w:firstLine="709"/>
        <w:rPr>
          <w:sz w:val="22"/>
          <w:szCs w:val="22"/>
        </w:rPr>
      </w:pPr>
      <w:r>
        <w:rPr>
          <w:rFonts w:ascii="Calibri" w:hAnsi="Calibri"/>
          <w:color w:val="000000" w:themeColor="text1"/>
          <w:sz w:val="22"/>
          <w:szCs w:val="22"/>
          <w:shd w:fill="auto" w:val="clear"/>
        </w:rPr>
        <w:t xml:space="preserve">Se a operação </w:t>
      </w:r>
      <w:r>
        <w:rPr>
          <w:rFonts w:ascii="Calibri" w:hAnsi="Calibri"/>
          <w:sz w:val="22"/>
          <w:szCs w:val="22"/>
          <w:shd w:fill="auto" w:val="clear"/>
        </w:rPr>
        <w:t>implicar mudança da pessoa jurídica contratada, deverá ser formalizado termo aditivo para alteração subjetiva.</w:t>
      </w:r>
    </w:p>
    <w:p>
      <w:pPr>
        <w:pStyle w:val="Nivel2"/>
        <w:numPr>
          <w:ilvl w:val="1"/>
          <w:numId w:val="262"/>
        </w:numPr>
        <w:spacing w:lineRule="auto" w:line="312" w:before="120" w:after="288"/>
        <w:ind w:left="0" w:firstLine="709"/>
        <w:rPr>
          <w:sz w:val="22"/>
          <w:szCs w:val="22"/>
        </w:rPr>
      </w:pPr>
      <w:r>
        <w:rPr>
          <w:rFonts w:ascii="Calibri" w:hAnsi="Calibri"/>
          <w:sz w:val="22"/>
          <w:szCs w:val="22"/>
          <w:shd w:fill="auto" w:val="clear"/>
        </w:rPr>
        <w:t>O termo de extinção, sempre que possível, será precedido:</w:t>
      </w:r>
    </w:p>
    <w:p>
      <w:pPr>
        <w:pStyle w:val="Nivel3"/>
        <w:numPr>
          <w:ilvl w:val="2"/>
          <w:numId w:val="263"/>
        </w:numPr>
        <w:spacing w:lineRule="auto" w:line="312" w:before="120" w:after="288"/>
        <w:ind w:left="170" w:firstLine="709"/>
        <w:rPr>
          <w:sz w:val="22"/>
          <w:szCs w:val="22"/>
        </w:rPr>
      </w:pPr>
      <w:r>
        <w:rPr>
          <w:rFonts w:ascii="Calibri" w:hAnsi="Calibri"/>
          <w:sz w:val="22"/>
          <w:szCs w:val="22"/>
          <w:shd w:fill="auto" w:val="clear"/>
        </w:rPr>
        <w:t>Balanço dos eventos contratuais já cumpridos ou parcialmente cumpridos;</w:t>
      </w:r>
    </w:p>
    <w:p>
      <w:pPr>
        <w:pStyle w:val="Nivel3"/>
        <w:numPr>
          <w:ilvl w:val="2"/>
          <w:numId w:val="264"/>
        </w:numPr>
        <w:spacing w:lineRule="auto" w:line="312" w:before="120" w:after="288"/>
        <w:ind w:left="170" w:firstLine="709"/>
        <w:rPr>
          <w:sz w:val="22"/>
          <w:szCs w:val="22"/>
        </w:rPr>
      </w:pPr>
      <w:r>
        <w:rPr>
          <w:rFonts w:ascii="Calibri" w:hAnsi="Calibri"/>
          <w:sz w:val="22"/>
          <w:szCs w:val="22"/>
          <w:shd w:fill="auto" w:val="clear"/>
        </w:rPr>
        <w:t>Relação dos pagamentos já efetuados e ainda devidos;</w:t>
      </w:r>
    </w:p>
    <w:p>
      <w:pPr>
        <w:pStyle w:val="Nivel3"/>
        <w:numPr>
          <w:ilvl w:val="2"/>
          <w:numId w:val="265"/>
        </w:numPr>
        <w:spacing w:lineRule="auto" w:line="312" w:before="120" w:after="288"/>
        <w:ind w:left="170" w:firstLine="709"/>
        <w:rPr>
          <w:sz w:val="22"/>
          <w:szCs w:val="22"/>
        </w:rPr>
      </w:pPr>
      <w:r>
        <w:rPr>
          <w:rFonts w:ascii="Calibri" w:hAnsi="Calibri"/>
          <w:sz w:val="22"/>
          <w:szCs w:val="22"/>
          <w:shd w:fill="auto" w:val="clear"/>
        </w:rPr>
        <w:t>Indenizações e multas.</w:t>
      </w:r>
    </w:p>
    <w:p>
      <w:pPr>
        <w:pStyle w:val="Nivel2"/>
        <w:numPr>
          <w:ilvl w:val="1"/>
          <w:numId w:val="266"/>
        </w:numPr>
        <w:spacing w:lineRule="auto" w:line="312" w:before="120" w:after="288"/>
        <w:ind w:left="0" w:firstLine="709"/>
        <w:rPr/>
      </w:pPr>
      <w:r>
        <w:rPr>
          <w:rFonts w:ascii="Calibri" w:hAnsi="Calibri"/>
          <w:sz w:val="22"/>
          <w:szCs w:val="22"/>
          <w:shd w:fill="auto" w:val="clear"/>
        </w:rPr>
        <w:t>A extinção do contrato não configura óbice para o reconhecimento do desequilíbrio econômico-financeiro, hipótese em que será concedida indenização por meio de termo indenizatório (</w:t>
      </w:r>
      <w:r>
        <w:fldChar w:fldCharType="begin"/>
      </w:r>
      <w:r>
        <w:rPr>
          <w:rStyle w:val="LinkdaInternet"/>
          <w:sz w:val="22"/>
          <w:szCs w:val="22"/>
          <w:rFonts w:ascii="Calibri" w:hAnsi="Calibri"/>
        </w:rPr>
        <w:instrText> HYPERLINK "http://www.planalto.gov.br/ccivil_03/_ato2019-2022/2021/lei/L14133.htm" \l "art131"</w:instrText>
      </w:r>
      <w:r>
        <w:rPr>
          <w:rStyle w:val="LinkdaInternet"/>
          <w:sz w:val="22"/>
          <w:szCs w:val="22"/>
          <w:rFonts w:ascii="Calibri" w:hAnsi="Calibri"/>
        </w:rPr>
        <w:fldChar w:fldCharType="separate"/>
      </w:r>
      <w:r>
        <w:rPr>
          <w:rStyle w:val="LinkdaInternet"/>
          <w:rFonts w:ascii="Calibri" w:hAnsi="Calibri"/>
          <w:sz w:val="22"/>
          <w:szCs w:val="22"/>
        </w:rPr>
        <w:t xml:space="preserve">art. 131, </w:t>
      </w:r>
      <w:r>
        <w:rPr>
          <w:rStyle w:val="LinkdaInternet"/>
          <w:sz w:val="22"/>
          <w:szCs w:val="22"/>
          <w:rFonts w:ascii="Calibri" w:hAnsi="Calibri"/>
        </w:rPr>
        <w:fldChar w:fldCharType="end"/>
      </w:r>
      <w:r>
        <w:rPr>
          <w:rStyle w:val="LinkdaInternet"/>
          <w:rFonts w:ascii="Calibri" w:hAnsi="Calibri"/>
          <w:i/>
          <w:iCs/>
          <w:sz w:val="22"/>
          <w:szCs w:val="22"/>
        </w:rPr>
        <w:t xml:space="preserve">caput, </w:t>
      </w:r>
      <w:r>
        <w:rPr>
          <w:rStyle w:val="LinkdaInternet"/>
          <w:rFonts w:ascii="Calibri" w:hAnsi="Calibri"/>
          <w:sz w:val="22"/>
          <w:szCs w:val="22"/>
        </w:rPr>
        <w:t>da Lei n.º 14.133, de 2021).</w:t>
      </w:r>
      <w:r>
        <w:rPr>
          <w:rFonts w:ascii="Calibri" w:hAnsi="Calibri"/>
          <w:sz w:val="22"/>
          <w:szCs w:val="22"/>
          <w:shd w:fill="auto" w:val="clear"/>
        </w:rPr>
        <w:t xml:space="preserve"> </w:t>
      </w:r>
    </w:p>
    <w:p>
      <w:pPr>
        <w:pStyle w:val="Nivel2"/>
        <w:numPr>
          <w:ilvl w:val="1"/>
          <w:numId w:val="267"/>
        </w:numPr>
        <w:spacing w:lineRule="auto" w:line="312" w:before="120" w:after="288"/>
        <w:ind w:left="0" w:firstLine="709"/>
        <w:rPr>
          <w:sz w:val="22"/>
          <w:szCs w:val="22"/>
        </w:rPr>
      </w:pPr>
      <w:r>
        <w:rPr>
          <w:rFonts w:ascii="Calibri" w:hAnsi="Calibri"/>
          <w:sz w:val="22"/>
          <w:szCs w:val="22"/>
          <w:shd w:fill="auto" w:val="clear"/>
        </w:rPr>
        <w:t>O contrato poderá ser extinto:</w:t>
      </w:r>
    </w:p>
    <w:p>
      <w:pPr>
        <w:pStyle w:val="Nivel3"/>
        <w:numPr>
          <w:ilvl w:val="2"/>
          <w:numId w:val="268"/>
        </w:numPr>
        <w:spacing w:lineRule="auto" w:line="312" w:before="120" w:after="288"/>
        <w:ind w:left="170" w:firstLine="709"/>
        <w:rPr>
          <w:sz w:val="22"/>
          <w:szCs w:val="22"/>
        </w:rPr>
      </w:pPr>
      <w:r>
        <w:rPr>
          <w:rFonts w:ascii="Calibri" w:hAnsi="Calibri"/>
          <w:sz w:val="22"/>
          <w:szCs w:val="22"/>
          <w:shd w:fill="auto" w:val="clear"/>
        </w:rPr>
        <w:t>caso se constate que o contratado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w:t>
      </w:r>
      <w:bookmarkStart w:id="7" w:name="_Hlk133590755"/>
      <w:r>
        <w:rPr>
          <w:rFonts w:ascii="Calibri" w:hAnsi="Calibri"/>
          <w:sz w:val="22"/>
          <w:szCs w:val="22"/>
          <w:shd w:fill="auto" w:val="clear"/>
        </w:rPr>
        <w:t>art. 14, inciso IV, da Lei n.º 14.133, de 2021</w:t>
      </w:r>
      <w:bookmarkEnd w:id="7"/>
      <w:r>
        <w:rPr>
          <w:rFonts w:ascii="Calibri" w:hAnsi="Calibri"/>
          <w:sz w:val="22"/>
          <w:szCs w:val="22"/>
          <w:shd w:fill="auto" w:val="clear"/>
        </w:rPr>
        <w:t>);</w:t>
      </w:r>
    </w:p>
    <w:p>
      <w:pPr>
        <w:pStyle w:val="Nivel3"/>
        <w:numPr>
          <w:ilvl w:val="2"/>
          <w:numId w:val="269"/>
        </w:numPr>
        <w:spacing w:lineRule="auto" w:line="312" w:before="120" w:after="288"/>
        <w:ind w:left="170" w:firstLine="709"/>
        <w:rPr>
          <w:sz w:val="22"/>
          <w:szCs w:val="22"/>
        </w:rPr>
      </w:pPr>
      <w:r>
        <w:rPr>
          <w:rFonts w:ascii="Calibri" w:hAnsi="Calibri"/>
          <w:sz w:val="22"/>
          <w:szCs w:val="22"/>
          <w:shd w:fill="auto" w:val="clear"/>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pPr>
        <w:pStyle w:val="Nivel01"/>
        <w:numPr>
          <w:ilvl w:val="0"/>
          <w:numId w:val="0"/>
        </w:numPr>
        <w:ind w:left="0" w:hanging="0"/>
        <w:rPr/>
      </w:pPr>
      <w:r>
        <w:rPr>
          <w:rFonts w:ascii="Calibri" w:hAnsi="Calibri"/>
          <w:sz w:val="22"/>
          <w:szCs w:val="22"/>
          <w:shd w:fill="auto" w:val="clear"/>
        </w:rPr>
        <w:t>CLÁUSULA DÉCIMA QUARTA – DOTAÇÃO ORÇAMENTÁRIA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VIII</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70"/>
        </w:numPr>
        <w:spacing w:lineRule="auto" w:line="312" w:before="120" w:after="288"/>
        <w:ind w:left="0" w:firstLine="709"/>
        <w:rPr>
          <w:sz w:val="22"/>
          <w:szCs w:val="22"/>
        </w:rPr>
      </w:pPr>
      <w:r>
        <w:rPr>
          <w:rFonts w:ascii="Calibri" w:hAnsi="Calibri"/>
          <w:sz w:val="22"/>
          <w:szCs w:val="22"/>
          <w:shd w:fill="auto" w:val="clear"/>
        </w:rPr>
        <w:t>As despesas decorrentes da presente contratação correrão à conta de recursos específicos consignados no Orçamento Geral da União deste exercício, na dotação abaixo discriminada:</w:t>
      </w:r>
    </w:p>
    <w:p>
      <w:pPr>
        <w:pStyle w:val="Normal"/>
        <w:numPr>
          <w:ilvl w:val="1"/>
          <w:numId w:val="3"/>
        </w:numPr>
        <w:suppressAutoHyphens w:val="true"/>
        <w:spacing w:lineRule="auto" w:line="240" w:before="0" w:after="0"/>
        <w:ind w:left="0" w:firstLine="1134"/>
        <w:jc w:val="both"/>
        <w:rPr>
          <w:sz w:val="22"/>
          <w:szCs w:val="22"/>
        </w:rPr>
      </w:pPr>
      <w:r>
        <w:rPr>
          <w:rFonts w:eastAsia="Arial" w:cs="Arial" w:ascii="Calibri" w:hAnsi="Calibri"/>
          <w:sz w:val="22"/>
          <w:szCs w:val="22"/>
          <w:shd w:fill="auto" w:val="clear"/>
        </w:rPr>
        <w:t>Gestão/Unidade: 795180</w:t>
      </w:r>
    </w:p>
    <w:p>
      <w:pPr>
        <w:pStyle w:val="Normal"/>
        <w:numPr>
          <w:ilvl w:val="1"/>
          <w:numId w:val="3"/>
        </w:numPr>
        <w:suppressAutoHyphens w:val="true"/>
        <w:spacing w:lineRule="auto" w:line="240" w:before="0" w:after="0"/>
        <w:ind w:left="0" w:firstLine="1134"/>
        <w:jc w:val="both"/>
        <w:rPr>
          <w:sz w:val="22"/>
          <w:szCs w:val="22"/>
        </w:rPr>
      </w:pPr>
      <w:r>
        <w:rPr>
          <w:rFonts w:eastAsia="Arial" w:cs="Arial" w:ascii="Calibri" w:hAnsi="Calibri"/>
          <w:sz w:val="22"/>
          <w:szCs w:val="22"/>
          <w:shd w:fill="auto" w:val="clear"/>
        </w:rPr>
        <w:t>Fonte de Recursos:  1050000144</w:t>
      </w:r>
    </w:p>
    <w:p>
      <w:pPr>
        <w:pStyle w:val="Normal"/>
        <w:numPr>
          <w:ilvl w:val="1"/>
          <w:numId w:val="3"/>
        </w:numPr>
        <w:suppressAutoHyphens w:val="true"/>
        <w:spacing w:lineRule="auto" w:line="240" w:before="0" w:after="0"/>
        <w:ind w:left="0" w:firstLine="1134"/>
        <w:jc w:val="both"/>
        <w:rPr>
          <w:sz w:val="22"/>
          <w:szCs w:val="22"/>
        </w:rPr>
      </w:pPr>
      <w:r>
        <w:rPr>
          <w:rFonts w:eastAsia="Arial" w:cs="Arial" w:ascii="Calibri" w:hAnsi="Calibri"/>
          <w:sz w:val="22"/>
          <w:szCs w:val="22"/>
          <w:shd w:fill="auto" w:val="clear"/>
        </w:rPr>
        <w:t>Programa de Trabalho: 174678</w:t>
      </w:r>
    </w:p>
    <w:p>
      <w:pPr>
        <w:pStyle w:val="Normal"/>
        <w:numPr>
          <w:ilvl w:val="1"/>
          <w:numId w:val="3"/>
        </w:numPr>
        <w:suppressAutoHyphens w:val="true"/>
        <w:spacing w:lineRule="auto" w:line="240" w:before="0" w:after="0"/>
        <w:ind w:left="0" w:firstLine="1134"/>
        <w:jc w:val="both"/>
        <w:rPr>
          <w:sz w:val="22"/>
          <w:szCs w:val="22"/>
        </w:rPr>
      </w:pPr>
      <w:r>
        <w:rPr>
          <w:rFonts w:eastAsia="Arial" w:cs="Arial" w:ascii="Calibri" w:hAnsi="Calibri"/>
          <w:sz w:val="22"/>
          <w:szCs w:val="22"/>
          <w:shd w:fill="auto" w:val="clear"/>
        </w:rPr>
        <w:t>Elemento de Despesa: 339039</w:t>
      </w:r>
    </w:p>
    <w:p>
      <w:pPr>
        <w:pStyle w:val="Normal"/>
        <w:numPr>
          <w:ilvl w:val="1"/>
          <w:numId w:val="3"/>
        </w:numPr>
        <w:suppressAutoHyphens w:val="true"/>
        <w:spacing w:lineRule="auto" w:line="240" w:before="0" w:after="0"/>
        <w:ind w:left="0" w:firstLine="1134"/>
        <w:jc w:val="both"/>
        <w:rPr>
          <w:sz w:val="22"/>
          <w:szCs w:val="22"/>
        </w:rPr>
      </w:pPr>
      <w:r>
        <w:rPr>
          <w:rFonts w:eastAsia="Arial" w:cs="Arial" w:ascii="Calibri" w:hAnsi="Calibri"/>
          <w:sz w:val="22"/>
          <w:szCs w:val="22"/>
          <w:shd w:fill="auto" w:val="clear"/>
        </w:rPr>
        <w:t>Plano Interno: XDV488DVC01L0</w:t>
      </w:r>
    </w:p>
    <w:p>
      <w:pPr>
        <w:pStyle w:val="Normal"/>
        <w:numPr>
          <w:ilvl w:val="1"/>
          <w:numId w:val="3"/>
        </w:numPr>
        <w:suppressAutoHyphens w:val="true"/>
        <w:spacing w:lineRule="auto" w:line="240" w:before="0" w:after="0"/>
        <w:ind w:left="0" w:firstLine="1134"/>
        <w:jc w:val="both"/>
        <w:rPr>
          <w:color w:val="000000"/>
          <w:sz w:val="22"/>
          <w:szCs w:val="22"/>
        </w:rPr>
      </w:pPr>
      <w:r>
        <w:rPr>
          <w:rFonts w:eastAsia="Arial" w:cs="Arial" w:ascii="Calibri" w:hAnsi="Calibri"/>
          <w:color w:val="000000"/>
          <w:sz w:val="22"/>
          <w:szCs w:val="22"/>
          <w:shd w:fill="auto" w:val="clear"/>
        </w:rPr>
        <w:t>Nota de Empenho:</w:t>
      </w:r>
    </w:p>
    <w:p>
      <w:pPr>
        <w:pStyle w:val="Nvel2Red"/>
        <w:numPr>
          <w:ilvl w:val="1"/>
          <w:numId w:val="271"/>
        </w:numPr>
        <w:spacing w:lineRule="auto" w:line="312" w:before="120" w:after="288"/>
        <w:ind w:left="0" w:firstLine="709"/>
        <w:rPr>
          <w:color w:val="000000"/>
          <w:sz w:val="22"/>
          <w:szCs w:val="22"/>
        </w:rPr>
      </w:pPr>
      <w:r>
        <w:rPr>
          <w:rFonts w:ascii="Calibri" w:hAnsi="Calibri"/>
          <w:color w:val="000000"/>
          <w:sz w:val="22"/>
          <w:szCs w:val="22"/>
          <w:shd w:fill="auto" w:val="clear"/>
        </w:rPr>
        <w:t>A dotação relativa aos exercícios financeiros subsequentes será indicada após aprovação da Lei Orçamentária respectiva e liberação dos créditos correspondentes, mediante apostilamento.</w:t>
      </w:r>
    </w:p>
    <w:p>
      <w:pPr>
        <w:pStyle w:val="Nivel01"/>
        <w:numPr>
          <w:ilvl w:val="0"/>
          <w:numId w:val="272"/>
        </w:numPr>
        <w:spacing w:lineRule="auto" w:line="312" w:before="120" w:after="288"/>
        <w:ind w:left="0" w:hanging="0"/>
        <w:rPr/>
      </w:pPr>
      <w:r>
        <w:rPr>
          <w:rFonts w:ascii="Calibri" w:hAnsi="Calibri"/>
          <w:sz w:val="22"/>
          <w:szCs w:val="22"/>
          <w:shd w:fill="auto" w:val="clear"/>
        </w:rPr>
        <w:t>CLÁUSULA DÉCIMA QUINTA – DOS CASOS OMISSOS (</w:t>
      </w:r>
      <w:r>
        <w:fldChar w:fldCharType="begin"/>
      </w:r>
      <w:r>
        <w:rPr>
          <w:rStyle w:val="LinkdaInternet"/>
          <w:sz w:val="22"/>
          <w:szCs w:val="22"/>
          <w:rFonts w:ascii="Calibri" w:hAnsi="Calibri"/>
        </w:rPr>
        <w:instrText> HYPERLINK "http://www.planalto.gov.br/ccivil_03/_ato2019-2022/2021/lei/L14133.htm" \l "art92"</w:instrText>
      </w:r>
      <w:r>
        <w:rPr>
          <w:rStyle w:val="LinkdaInternet"/>
          <w:sz w:val="22"/>
          <w:szCs w:val="22"/>
          <w:rFonts w:ascii="Calibri" w:hAnsi="Calibri"/>
        </w:rPr>
        <w:fldChar w:fldCharType="separate"/>
      </w:r>
      <w:r>
        <w:rPr>
          <w:rStyle w:val="LinkdaInternet"/>
          <w:rFonts w:ascii="Calibri" w:hAnsi="Calibri"/>
          <w:sz w:val="22"/>
          <w:szCs w:val="22"/>
        </w:rPr>
        <w:t>art. 92, III</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73"/>
        </w:numPr>
        <w:spacing w:lineRule="auto" w:line="312" w:before="120" w:after="288"/>
        <w:ind w:left="0" w:firstLine="709"/>
        <w:rPr/>
      </w:pPr>
      <w:r>
        <w:rPr>
          <w:rFonts w:ascii="Calibri" w:hAnsi="Calibri"/>
          <w:sz w:val="22"/>
          <w:szCs w:val="22"/>
          <w:shd w:fill="auto" w:val="clear"/>
        </w:rPr>
        <w:t xml:space="preserve">Os casos omissos serão decididos pelo contratante, segundo as disposições contidas na </w:t>
      </w:r>
      <w:hyperlink r:id="rId10">
        <w:r>
          <w:rPr>
            <w:rStyle w:val="LinkdaInternet"/>
            <w:rFonts w:ascii="Calibri" w:hAnsi="Calibri"/>
            <w:sz w:val="22"/>
            <w:szCs w:val="22"/>
          </w:rPr>
          <w:t>Lei nº 14.133, de 2021</w:t>
        </w:r>
      </w:hyperlink>
      <w:r>
        <w:rPr>
          <w:rFonts w:ascii="Calibri" w:hAnsi="Calibri"/>
          <w:sz w:val="22"/>
          <w:szCs w:val="22"/>
          <w:shd w:fill="auto" w:val="clear"/>
        </w:rPr>
        <w:t xml:space="preserve">, e demais normas federais aplicáveis e, subsidiariamente, segundo as disposições contidas na </w:t>
      </w:r>
      <w:hyperlink r:id="rId11">
        <w:r>
          <w:rPr>
            <w:rStyle w:val="LinkdaInternet"/>
            <w:rFonts w:ascii="Calibri" w:hAnsi="Calibri"/>
            <w:sz w:val="22"/>
            <w:szCs w:val="22"/>
          </w:rPr>
          <w:t>Lei nº 8.078, de 1990 – Código de Defesa do Consumidor</w:t>
        </w:r>
      </w:hyperlink>
      <w:r>
        <w:rPr>
          <w:rFonts w:ascii="Calibri" w:hAnsi="Calibri"/>
          <w:sz w:val="22"/>
          <w:szCs w:val="22"/>
          <w:shd w:fill="auto" w:val="clear"/>
        </w:rPr>
        <w:t xml:space="preserve"> – e normas e princípios gerais dos contratos.</w:t>
      </w:r>
    </w:p>
    <w:p>
      <w:pPr>
        <w:pStyle w:val="Nivel01"/>
        <w:numPr>
          <w:ilvl w:val="0"/>
          <w:numId w:val="274"/>
        </w:numPr>
        <w:spacing w:lineRule="auto" w:line="312" w:before="120" w:after="288"/>
        <w:ind w:left="0" w:hanging="0"/>
        <w:rPr>
          <w:sz w:val="22"/>
          <w:szCs w:val="22"/>
        </w:rPr>
      </w:pPr>
      <w:r>
        <w:rPr>
          <w:rFonts w:ascii="Calibri" w:hAnsi="Calibri"/>
          <w:sz w:val="22"/>
          <w:szCs w:val="22"/>
          <w:shd w:fill="auto" w:val="clear"/>
        </w:rPr>
        <w:t>CLÁUSULA DÉCIMA SEXTA – ALTERAÇÕES</w:t>
      </w:r>
    </w:p>
    <w:p>
      <w:pPr>
        <w:pStyle w:val="Nivel2"/>
        <w:numPr>
          <w:ilvl w:val="1"/>
          <w:numId w:val="275"/>
        </w:numPr>
        <w:spacing w:lineRule="auto" w:line="312" w:before="120" w:after="288"/>
        <w:ind w:left="0" w:firstLine="709"/>
        <w:rPr/>
      </w:pPr>
      <w:r>
        <w:rPr>
          <w:rFonts w:ascii="Calibri" w:hAnsi="Calibri"/>
          <w:sz w:val="22"/>
          <w:szCs w:val="22"/>
          <w:shd w:fill="auto" w:val="clear"/>
        </w:rPr>
        <w:t xml:space="preserve">Eventuais alterações contratuais reger-se-ão pela disciplina dos </w:t>
      </w:r>
      <w:r>
        <w:fldChar w:fldCharType="begin"/>
      </w:r>
      <w:r>
        <w:rPr>
          <w:rStyle w:val="LinkdaInternet"/>
          <w:sz w:val="22"/>
          <w:szCs w:val="22"/>
          <w:rFonts w:ascii="Calibri" w:hAnsi="Calibri"/>
        </w:rPr>
        <w:instrText> HYPERLINK "http://www.planalto.gov.br/ccivil_03/_ato2019-2022/2021/lei/L14133.htm" \l "art124"</w:instrText>
      </w:r>
      <w:r>
        <w:rPr>
          <w:rStyle w:val="LinkdaInternet"/>
          <w:sz w:val="22"/>
          <w:szCs w:val="22"/>
          <w:rFonts w:ascii="Calibri" w:hAnsi="Calibri"/>
        </w:rPr>
        <w:fldChar w:fldCharType="separate"/>
      </w:r>
      <w:r>
        <w:rPr>
          <w:rStyle w:val="LinkdaInternet"/>
          <w:rFonts w:ascii="Calibri" w:hAnsi="Calibri"/>
          <w:sz w:val="22"/>
          <w:szCs w:val="22"/>
        </w:rPr>
        <w:t>arts. 124 e seguintes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76"/>
        </w:numPr>
        <w:spacing w:lineRule="auto" w:line="312" w:before="120" w:after="288"/>
        <w:ind w:left="0" w:firstLine="709"/>
        <w:rPr>
          <w:sz w:val="22"/>
          <w:szCs w:val="22"/>
        </w:rPr>
      </w:pPr>
      <w:r>
        <w:rPr>
          <w:rFonts w:ascii="Calibri" w:hAnsi="Calibri"/>
          <w:sz w:val="22"/>
          <w:szCs w:val="22"/>
          <w:shd w:fill="auto"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77"/>
        </w:numPr>
        <w:spacing w:lineRule="auto" w:line="312" w:before="120" w:after="288"/>
        <w:ind w:left="0" w:firstLine="709"/>
        <w:rPr>
          <w:sz w:val="22"/>
          <w:szCs w:val="22"/>
        </w:rPr>
      </w:pPr>
      <w:r>
        <w:rPr>
          <w:rFonts w:ascii="Calibri" w:hAnsi="Calibri"/>
          <w:sz w:val="22"/>
          <w:szCs w:val="22"/>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78"/>
        </w:numPr>
        <w:spacing w:lineRule="auto" w:line="312" w:before="120" w:after="288"/>
        <w:ind w:left="0" w:firstLine="709"/>
        <w:rPr/>
      </w:pPr>
      <w:r>
        <w:rPr>
          <w:rFonts w:ascii="Calibri" w:hAnsi="Calibri"/>
          <w:sz w:val="22"/>
          <w:szCs w:val="22"/>
          <w:shd w:fill="auto" w:val="clear"/>
        </w:rPr>
        <w:t xml:space="preserve">Registros que não caracterizam alteração do contrato podem ser realizados por simples apostila, dispensada a celebração de termo aditivo, na forma do </w:t>
      </w:r>
      <w:r>
        <w:fldChar w:fldCharType="begin"/>
      </w:r>
      <w:r>
        <w:rPr>
          <w:rStyle w:val="LinkdaInternet"/>
          <w:sz w:val="22"/>
          <w:szCs w:val="22"/>
          <w:rFonts w:ascii="Calibri" w:hAnsi="Calibri"/>
        </w:rPr>
        <w:instrText> HYPERLINK "http://www.planalto.gov.br/ccivil_03/_ato2019-2022/2021/lei/L14133.htm" \l "art136"</w:instrText>
      </w:r>
      <w:r>
        <w:rPr>
          <w:rStyle w:val="LinkdaInternet"/>
          <w:sz w:val="22"/>
          <w:szCs w:val="22"/>
          <w:rFonts w:ascii="Calibri" w:hAnsi="Calibri"/>
        </w:rPr>
        <w:fldChar w:fldCharType="separate"/>
      </w:r>
      <w:r>
        <w:rPr>
          <w:rStyle w:val="LinkdaInternet"/>
          <w:rFonts w:ascii="Calibri" w:hAnsi="Calibri"/>
          <w:sz w:val="22"/>
          <w:szCs w:val="22"/>
        </w:rPr>
        <w:t>art. 136 da Lei nº 14.133, de 2021</w:t>
      </w:r>
      <w:r>
        <w:rPr>
          <w:rStyle w:val="LinkdaInternet"/>
          <w:sz w:val="22"/>
          <w:szCs w:val="22"/>
          <w:rFonts w:ascii="Calibri" w:hAnsi="Calibri"/>
        </w:rPr>
        <w:fldChar w:fldCharType="end"/>
      </w:r>
      <w:r>
        <w:rPr>
          <w:rFonts w:ascii="Calibri" w:hAnsi="Calibri"/>
          <w:sz w:val="22"/>
          <w:szCs w:val="22"/>
          <w:shd w:fill="auto" w:val="clear"/>
        </w:rPr>
        <w:t>.</w:t>
      </w:r>
    </w:p>
    <w:p>
      <w:pPr>
        <w:pStyle w:val="Nivel01"/>
        <w:numPr>
          <w:ilvl w:val="0"/>
          <w:numId w:val="279"/>
        </w:numPr>
        <w:spacing w:lineRule="auto" w:line="312" w:before="120" w:after="288"/>
        <w:ind w:left="0" w:hanging="0"/>
        <w:rPr>
          <w:sz w:val="22"/>
          <w:szCs w:val="22"/>
        </w:rPr>
      </w:pPr>
      <w:r>
        <w:rPr>
          <w:rFonts w:ascii="Calibri" w:hAnsi="Calibri"/>
          <w:sz w:val="22"/>
          <w:szCs w:val="22"/>
          <w:shd w:fill="auto" w:val="clear"/>
        </w:rPr>
        <w:t>CLÁUSULA DÉCIMA SÉTIMA – PUBLICAÇÃO</w:t>
      </w:r>
    </w:p>
    <w:p>
      <w:pPr>
        <w:pStyle w:val="Nivel2"/>
        <w:numPr>
          <w:ilvl w:val="1"/>
          <w:numId w:val="280"/>
        </w:numPr>
        <w:spacing w:lineRule="auto" w:line="312" w:before="120" w:after="288"/>
        <w:ind w:left="0" w:firstLine="709"/>
        <w:rPr/>
      </w:pPr>
      <w:r>
        <w:rPr>
          <w:rFonts w:ascii="Calibri" w:hAnsi="Calibri"/>
          <w:sz w:val="22"/>
          <w:szCs w:val="22"/>
          <w:shd w:fill="auto" w:val="clear"/>
        </w:rPr>
        <w:t xml:space="preserve">Incumbirá ao contratante divulgar o presente instrumento no Portal Nacional de Contratações Públicas (PNCP), na forma prevista no </w:t>
      </w:r>
      <w:r>
        <w:fldChar w:fldCharType="begin"/>
      </w:r>
      <w:r>
        <w:rPr>
          <w:rStyle w:val="LinkdaInternet"/>
          <w:sz w:val="22"/>
          <w:szCs w:val="22"/>
          <w:rFonts w:ascii="Calibri" w:hAnsi="Calibri"/>
        </w:rPr>
        <w:instrText> HYPERLINK "http://www.planalto.gov.br/ccivil_03/_ato2019-2022/2021/lei/L14133.htm" \l "art94"</w:instrText>
      </w:r>
      <w:r>
        <w:rPr>
          <w:rStyle w:val="LinkdaInternet"/>
          <w:sz w:val="22"/>
          <w:szCs w:val="22"/>
          <w:rFonts w:ascii="Calibri" w:hAnsi="Calibri"/>
        </w:rPr>
        <w:fldChar w:fldCharType="separate"/>
      </w:r>
      <w:r>
        <w:rPr>
          <w:rStyle w:val="LinkdaInternet"/>
          <w:rFonts w:ascii="Calibri" w:hAnsi="Calibri"/>
          <w:sz w:val="22"/>
          <w:szCs w:val="22"/>
        </w:rPr>
        <w:t>art. 94 da Lei 14.133, de 2021</w:t>
      </w:r>
      <w:r>
        <w:rPr>
          <w:rStyle w:val="LinkdaInternet"/>
          <w:sz w:val="22"/>
          <w:szCs w:val="22"/>
          <w:rFonts w:ascii="Calibri" w:hAnsi="Calibri"/>
        </w:rPr>
        <w:fldChar w:fldCharType="end"/>
      </w:r>
      <w:r>
        <w:rPr>
          <w:rFonts w:ascii="Calibri" w:hAnsi="Calibri"/>
          <w:sz w:val="22"/>
          <w:szCs w:val="22"/>
          <w:shd w:fill="auto" w:val="clear"/>
        </w:rPr>
        <w:t xml:space="preserve">, bem como no respectivo sítio oficial na Internet, em atenção ao art. 91, </w:t>
      </w:r>
      <w:r>
        <w:rPr>
          <w:rFonts w:ascii="Calibri" w:hAnsi="Calibri"/>
          <w:i/>
          <w:iCs/>
          <w:sz w:val="22"/>
          <w:szCs w:val="22"/>
          <w:shd w:fill="auto" w:val="clear"/>
        </w:rPr>
        <w:t>caput,</w:t>
      </w:r>
      <w:r>
        <w:rPr>
          <w:rFonts w:ascii="Calibri" w:hAnsi="Calibri"/>
          <w:sz w:val="22"/>
          <w:szCs w:val="22"/>
          <w:shd w:fill="auto" w:val="clear"/>
        </w:rPr>
        <w:t xml:space="preserve"> da Lei n.º 14.133, de 2021, e ao </w:t>
      </w:r>
      <w:r>
        <w:fldChar w:fldCharType="begin"/>
      </w:r>
      <w:r>
        <w:rPr>
          <w:rStyle w:val="LinkdaInternet"/>
          <w:sz w:val="22"/>
          <w:szCs w:val="22"/>
          <w:rFonts w:ascii="Calibri" w:hAnsi="Calibri"/>
        </w:rPr>
        <w:instrText> HYPERLINK "https://www.planalto.gov.br/ccivil_03/_ato2011-2014/2011/lei/l12527.htm" \l "art8§2"</w:instrText>
      </w:r>
      <w:r>
        <w:rPr>
          <w:rStyle w:val="LinkdaInternet"/>
          <w:sz w:val="22"/>
          <w:szCs w:val="22"/>
          <w:rFonts w:ascii="Calibri" w:hAnsi="Calibri"/>
        </w:rPr>
        <w:fldChar w:fldCharType="separate"/>
      </w:r>
      <w:r>
        <w:rPr>
          <w:rStyle w:val="LinkdaInternet"/>
          <w:rFonts w:ascii="Calibri" w:hAnsi="Calibri"/>
          <w:sz w:val="22"/>
          <w:szCs w:val="22"/>
        </w:rPr>
        <w:t>art. 8º, §2º, da Lei n. 12.527, de 2011</w:t>
      </w:r>
      <w:r>
        <w:rPr>
          <w:rStyle w:val="LinkdaInternet"/>
          <w:sz w:val="22"/>
          <w:szCs w:val="22"/>
          <w:rFonts w:ascii="Calibri" w:hAnsi="Calibri"/>
        </w:rPr>
        <w:fldChar w:fldCharType="end"/>
      </w:r>
      <w:r>
        <w:rPr>
          <w:rFonts w:ascii="Calibri" w:hAnsi="Calibri"/>
          <w:sz w:val="22"/>
          <w:szCs w:val="22"/>
          <w:shd w:fill="auto" w:val="clear"/>
        </w:rPr>
        <w:t xml:space="preserve">, c/c </w:t>
      </w:r>
      <w:r>
        <w:fldChar w:fldCharType="begin"/>
      </w:r>
      <w:r>
        <w:rPr>
          <w:rStyle w:val="LinkdaInternet"/>
          <w:sz w:val="22"/>
          <w:szCs w:val="22"/>
          <w:rFonts w:ascii="Calibri" w:hAnsi="Calibri"/>
        </w:rPr>
        <w:instrText> HYPERLINK "https://www.planalto.gov.br/ccivil_03/_ato2011-2014/2012/decreto/d7724.htm" \l "art7§3"</w:instrText>
      </w:r>
      <w:r>
        <w:rPr>
          <w:rStyle w:val="LinkdaInternet"/>
          <w:sz w:val="22"/>
          <w:szCs w:val="22"/>
          <w:rFonts w:ascii="Calibri" w:hAnsi="Calibri"/>
        </w:rPr>
        <w:fldChar w:fldCharType="separate"/>
      </w:r>
      <w:r>
        <w:rPr>
          <w:rStyle w:val="LinkdaInternet"/>
          <w:rFonts w:ascii="Calibri" w:hAnsi="Calibri"/>
          <w:sz w:val="22"/>
          <w:szCs w:val="22"/>
        </w:rPr>
        <w:t>art. 7º, §3º, inciso V, do Decreto n. 7.724, de 2012.</w:t>
      </w:r>
      <w:r>
        <w:rPr>
          <w:rStyle w:val="LinkdaInternet"/>
          <w:sz w:val="22"/>
          <w:szCs w:val="22"/>
          <w:rFonts w:ascii="Calibri" w:hAnsi="Calibri"/>
        </w:rPr>
        <w:fldChar w:fldCharType="end"/>
      </w:r>
      <w:r>
        <w:rPr>
          <w:rFonts w:ascii="Calibri" w:hAnsi="Calibri"/>
          <w:sz w:val="22"/>
          <w:szCs w:val="22"/>
          <w:shd w:fill="auto" w:val="clear"/>
        </w:rPr>
        <w:t xml:space="preserve"> </w:t>
      </w:r>
    </w:p>
    <w:p>
      <w:pPr>
        <w:pStyle w:val="Nivel01"/>
        <w:numPr>
          <w:ilvl w:val="0"/>
          <w:numId w:val="281"/>
        </w:numPr>
        <w:spacing w:lineRule="auto" w:line="312" w:before="120" w:after="288"/>
        <w:ind w:left="0" w:hanging="0"/>
        <w:rPr/>
      </w:pPr>
      <w:r>
        <w:rPr>
          <w:rFonts w:ascii="Calibri" w:hAnsi="Calibri"/>
          <w:sz w:val="22"/>
          <w:szCs w:val="22"/>
          <w:shd w:fill="auto" w:val="clear"/>
        </w:rPr>
        <w:t>CLÁUSULA DÉCIMA OITAVA– FORO (</w:t>
      </w:r>
      <w:r>
        <w:fldChar w:fldCharType="begin"/>
      </w:r>
      <w:r>
        <w:rPr>
          <w:rStyle w:val="LinkdaInternet"/>
          <w:sz w:val="22"/>
          <w:szCs w:val="22"/>
          <w:rFonts w:ascii="Calibri" w:hAnsi="Calibri"/>
        </w:rPr>
        <w:instrText> HYPERLINK "http://www.planalto.gov.br/ccivil_03/_ato2019-2022/2021/lei/L14133.htm" \l "art92§1"</w:instrText>
      </w:r>
      <w:r>
        <w:rPr>
          <w:rStyle w:val="LinkdaInternet"/>
          <w:sz w:val="22"/>
          <w:szCs w:val="22"/>
          <w:rFonts w:ascii="Calibri" w:hAnsi="Calibri"/>
        </w:rPr>
        <w:fldChar w:fldCharType="separate"/>
      </w:r>
      <w:r>
        <w:rPr>
          <w:rStyle w:val="LinkdaInternet"/>
          <w:rFonts w:ascii="Calibri" w:hAnsi="Calibri"/>
          <w:sz w:val="22"/>
          <w:szCs w:val="22"/>
        </w:rPr>
        <w:t>art. 92, §1º</w:t>
      </w:r>
      <w:r>
        <w:rPr>
          <w:rStyle w:val="LinkdaInternet"/>
          <w:sz w:val="22"/>
          <w:szCs w:val="22"/>
          <w:rFonts w:ascii="Calibri" w:hAnsi="Calibri"/>
        </w:rPr>
        <w:fldChar w:fldCharType="end"/>
      </w:r>
      <w:r>
        <w:rPr>
          <w:rFonts w:ascii="Calibri" w:hAnsi="Calibri"/>
          <w:sz w:val="22"/>
          <w:szCs w:val="22"/>
          <w:shd w:fill="auto" w:val="clear"/>
        </w:rPr>
        <w:t>)</w:t>
      </w:r>
    </w:p>
    <w:p>
      <w:pPr>
        <w:pStyle w:val="Nivel2"/>
        <w:numPr>
          <w:ilvl w:val="1"/>
          <w:numId w:val="282"/>
        </w:numPr>
        <w:spacing w:lineRule="auto" w:line="312" w:before="120" w:after="288"/>
        <w:ind w:left="0" w:firstLine="709"/>
        <w:rPr/>
      </w:pPr>
      <w:r>
        <w:rPr>
          <w:rFonts w:ascii="Calibri" w:hAnsi="Calibri"/>
          <w:sz w:val="22"/>
          <w:szCs w:val="22"/>
          <w:shd w:fill="auto" w:val="clear"/>
        </w:rPr>
        <w:t xml:space="preserve">Fica eleito o Foro da Justiça Federal em </w:t>
      </w:r>
      <w:r>
        <w:rPr>
          <w:rFonts w:ascii="Calibri" w:hAnsi="Calibri"/>
          <w:color w:val="000000"/>
          <w:sz w:val="24"/>
          <w:szCs w:val="24"/>
          <w:shd w:fill="auto" w:val="clear"/>
        </w:rPr>
        <w:t>Rio de Janeiro, Seção Judiciária de Rio de Janeiro</w:t>
      </w:r>
      <w:r>
        <w:rPr>
          <w:rFonts w:ascii="Calibri" w:hAnsi="Calibri"/>
          <w:sz w:val="22"/>
          <w:szCs w:val="22"/>
          <w:shd w:fill="auto" w:val="clear"/>
        </w:rPr>
        <w:t xml:space="preserve"> para dirimir os litígios que decorrerem da execução deste Termo de Contrato que não puderem ser compostos pela conciliação, conforme </w:t>
      </w:r>
      <w:r>
        <w:fldChar w:fldCharType="begin"/>
      </w:r>
      <w:r>
        <w:rPr>
          <w:rStyle w:val="LinkdaInternet"/>
          <w:sz w:val="22"/>
          <w:szCs w:val="22"/>
          <w:rFonts w:ascii="Calibri" w:hAnsi="Calibri"/>
        </w:rPr>
        <w:instrText> HYPERLINK "http://www.planalto.gov.br/ccivil_03/_ato2019-2022/2021/lei/L14133.htm" \l "art92§1"</w:instrText>
      </w:r>
      <w:r>
        <w:rPr>
          <w:rStyle w:val="LinkdaInternet"/>
          <w:sz w:val="22"/>
          <w:szCs w:val="22"/>
          <w:rFonts w:ascii="Calibri" w:hAnsi="Calibri"/>
        </w:rPr>
        <w:fldChar w:fldCharType="separate"/>
      </w:r>
      <w:r>
        <w:rPr>
          <w:rStyle w:val="LinkdaInternet"/>
          <w:rFonts w:ascii="Calibri" w:hAnsi="Calibri"/>
          <w:sz w:val="22"/>
          <w:szCs w:val="22"/>
        </w:rPr>
        <w:t>art. 92, §1º, da Lei nº 14.133/21.</w:t>
      </w:r>
      <w:r>
        <w:rPr>
          <w:rStyle w:val="LinkdaInternet"/>
          <w:sz w:val="22"/>
          <w:szCs w:val="22"/>
          <w:rFonts w:ascii="Calibri" w:hAnsi="Calibri"/>
        </w:rPr>
        <w:fldChar w:fldCharType="end"/>
      </w:r>
    </w:p>
    <w:p>
      <w:pPr>
        <w:pStyle w:val="Nivel2"/>
        <w:numPr>
          <w:ilvl w:val="0"/>
          <w:numId w:val="0"/>
        </w:numPr>
        <w:spacing w:lineRule="auto" w:line="312" w:before="120" w:after="288"/>
        <w:ind w:left="0" w:firstLine="709"/>
        <w:rPr>
          <w:rFonts w:ascii="Calibri" w:hAnsi="Calibri"/>
          <w:i/>
          <w:i/>
          <w:iCs/>
          <w:color w:val="FF0000"/>
          <w:sz w:val="22"/>
          <w:szCs w:val="22"/>
        </w:rPr>
      </w:pPr>
      <w:r>
        <w:rPr>
          <w:rFonts w:ascii="Calibri" w:hAnsi="Calibri"/>
          <w:i/>
          <w:iCs/>
          <w:color w:val="FF0000"/>
          <w:sz w:val="22"/>
          <w:szCs w:val="22"/>
          <w:shd w:fill="auto" w:val="clear"/>
        </w:rPr>
      </w:r>
    </w:p>
    <w:p>
      <w:pPr>
        <w:pStyle w:val="Nivel2"/>
        <w:numPr>
          <w:ilvl w:val="0"/>
          <w:numId w:val="0"/>
        </w:numPr>
        <w:spacing w:lineRule="auto" w:line="312" w:before="120" w:after="288"/>
        <w:ind w:left="0" w:firstLine="709"/>
        <w:rPr>
          <w:sz w:val="22"/>
          <w:szCs w:val="22"/>
        </w:rPr>
      </w:pPr>
      <w:r>
        <w:rPr>
          <w:rFonts w:ascii="Calibri" w:hAnsi="Calibri"/>
          <w:i/>
          <w:iCs/>
          <w:color w:val="FF0000"/>
          <w:sz w:val="22"/>
          <w:szCs w:val="22"/>
          <w:shd w:fill="auto" w:val="clear"/>
        </w:rPr>
        <w:t>[Local]</w:t>
      </w:r>
      <w:r>
        <w:rPr>
          <w:rFonts w:ascii="Calibri" w:hAnsi="Calibri"/>
          <w:i/>
          <w:iCs/>
          <w:color w:val="000000"/>
          <w:sz w:val="22"/>
          <w:szCs w:val="22"/>
          <w:shd w:fill="auto" w:val="clear"/>
        </w:rPr>
        <w:t>,</w:t>
      </w:r>
      <w:r>
        <w:rPr>
          <w:rFonts w:ascii="Calibri" w:hAnsi="Calibri"/>
          <w:i/>
          <w:iCs/>
          <w:color w:val="FF0000"/>
          <w:sz w:val="22"/>
          <w:szCs w:val="22"/>
          <w:shd w:fill="auto" w:val="clear"/>
        </w:rPr>
        <w:t xml:space="preserve"> [dia] </w:t>
      </w:r>
      <w:r>
        <w:rPr>
          <w:rFonts w:ascii="Calibri" w:hAnsi="Calibri"/>
          <w:i/>
          <w:iCs/>
          <w:color w:val="000000"/>
          <w:sz w:val="22"/>
          <w:szCs w:val="22"/>
          <w:shd w:fill="auto" w:val="clear"/>
        </w:rPr>
        <w:t>de</w:t>
      </w:r>
      <w:r>
        <w:rPr>
          <w:rFonts w:ascii="Calibri" w:hAnsi="Calibri"/>
          <w:i/>
          <w:iCs/>
          <w:color w:val="FF0000"/>
          <w:sz w:val="22"/>
          <w:szCs w:val="22"/>
          <w:shd w:fill="auto" w:val="clear"/>
        </w:rPr>
        <w:t xml:space="preserve"> [mês] </w:t>
      </w:r>
      <w:r>
        <w:rPr>
          <w:rFonts w:ascii="Calibri" w:hAnsi="Calibri"/>
          <w:i/>
          <w:iCs/>
          <w:color w:val="000000"/>
          <w:sz w:val="22"/>
          <w:szCs w:val="22"/>
          <w:shd w:fill="auto" w:val="clear"/>
        </w:rPr>
        <w:t>de</w:t>
      </w:r>
      <w:r>
        <w:rPr>
          <w:rFonts w:ascii="Calibri" w:hAnsi="Calibri"/>
          <w:i/>
          <w:iCs/>
          <w:color w:val="FF0000"/>
          <w:sz w:val="22"/>
          <w:szCs w:val="22"/>
          <w:shd w:fill="auto" w:val="clear"/>
        </w:rPr>
        <w:t xml:space="preserve"> [ano].</w:t>
      </w:r>
    </w:p>
    <w:p>
      <w:pPr>
        <w:pStyle w:val="Normal"/>
        <w:spacing w:lineRule="auto" w:line="312" w:before="120" w:after="288"/>
        <w:ind w:firstLine="709"/>
        <w:jc w:val="center"/>
        <w:rPr>
          <w:sz w:val="22"/>
          <w:szCs w:val="22"/>
        </w:rPr>
      </w:pPr>
      <w:r>
        <w:rPr>
          <w:rFonts w:cs="Arial" w:ascii="Calibri" w:hAnsi="Calibri"/>
          <w:bCs/>
          <w:sz w:val="22"/>
          <w:szCs w:val="22"/>
          <w:shd w:fill="auto" w:val="clear"/>
        </w:rPr>
        <w:t>_________________________</w:t>
      </w:r>
    </w:p>
    <w:p>
      <w:pPr>
        <w:pStyle w:val="Normal"/>
        <w:spacing w:lineRule="auto" w:line="312" w:before="120" w:after="288"/>
        <w:ind w:firstLine="709"/>
        <w:jc w:val="center"/>
        <w:rPr>
          <w:sz w:val="22"/>
          <w:szCs w:val="22"/>
        </w:rPr>
      </w:pPr>
      <w:r>
        <w:rPr>
          <w:rFonts w:cs="Arial" w:ascii="Calibri" w:hAnsi="Calibri"/>
          <w:bCs/>
          <w:sz w:val="22"/>
          <w:szCs w:val="22"/>
          <w:shd w:fill="auto" w:val="clear"/>
        </w:rPr>
        <w:t>Representante legal do CONTRATANTE</w:t>
      </w:r>
    </w:p>
    <w:p>
      <w:pPr>
        <w:pStyle w:val="Normal"/>
        <w:spacing w:lineRule="auto" w:line="312" w:before="120" w:after="288"/>
        <w:ind w:firstLine="709"/>
        <w:jc w:val="center"/>
        <w:rPr>
          <w:sz w:val="22"/>
          <w:szCs w:val="22"/>
        </w:rPr>
      </w:pPr>
      <w:r>
        <w:rPr>
          <w:rFonts w:cs="Arial" w:ascii="Calibri" w:hAnsi="Calibri"/>
          <w:sz w:val="22"/>
          <w:szCs w:val="22"/>
          <w:shd w:fill="auto" w:val="clear"/>
        </w:rPr>
        <w:t>_________________________</w:t>
      </w:r>
    </w:p>
    <w:p>
      <w:pPr>
        <w:pStyle w:val="Normal"/>
        <w:spacing w:lineRule="auto" w:line="312" w:before="120" w:after="288"/>
        <w:ind w:firstLine="709"/>
        <w:jc w:val="center"/>
        <w:rPr>
          <w:sz w:val="22"/>
          <w:szCs w:val="22"/>
        </w:rPr>
      </w:pPr>
      <w:r>
        <w:rPr>
          <w:rFonts w:cs="Arial" w:ascii="Calibri" w:hAnsi="Calibri"/>
          <w:bCs/>
          <w:sz w:val="22"/>
          <w:szCs w:val="22"/>
          <w:shd w:fill="auto" w:val="clear"/>
        </w:rPr>
        <w:t>Representante</w:t>
      </w:r>
      <w:r>
        <w:rPr>
          <w:rFonts w:cs="Arial" w:ascii="Calibri" w:hAnsi="Calibri"/>
          <w:sz w:val="22"/>
          <w:szCs w:val="22"/>
          <w:shd w:fill="auto" w:val="clear"/>
        </w:rPr>
        <w:t xml:space="preserve"> legal do CONTRATADO</w:t>
      </w:r>
    </w:p>
    <w:p>
      <w:pPr>
        <w:pStyle w:val="Normal"/>
        <w:spacing w:lineRule="auto" w:line="312" w:before="120" w:after="288"/>
        <w:ind w:firstLine="709"/>
        <w:jc w:val="both"/>
        <w:rPr>
          <w:sz w:val="22"/>
          <w:szCs w:val="22"/>
        </w:rPr>
      </w:pPr>
      <w:r>
        <w:rPr>
          <w:rFonts w:cs="Arial" w:ascii="Calibri" w:hAnsi="Calibri"/>
          <w:i/>
          <w:iCs/>
          <w:color w:val="FF0000"/>
          <w:sz w:val="22"/>
          <w:szCs w:val="22"/>
          <w:shd w:fill="auto" w:val="clear"/>
        </w:rPr>
        <w:t>TESTEMUNHAS:</w:t>
      </w:r>
    </w:p>
    <w:p>
      <w:pPr>
        <w:pStyle w:val="Normal"/>
        <w:spacing w:lineRule="auto" w:line="312" w:before="120" w:after="288"/>
        <w:ind w:firstLine="709"/>
        <w:rPr>
          <w:sz w:val="22"/>
          <w:szCs w:val="22"/>
        </w:rPr>
      </w:pPr>
      <w:r>
        <w:rPr>
          <w:rFonts w:cs="Arial" w:ascii="Calibri" w:hAnsi="Calibri"/>
          <w:i/>
          <w:iCs/>
          <w:color w:val="FF0000"/>
          <w:sz w:val="22"/>
          <w:szCs w:val="22"/>
          <w:shd w:fill="auto" w:val="clear"/>
        </w:rPr>
        <w:t>1-</w:t>
      </w:r>
    </w:p>
    <w:p>
      <w:pPr>
        <w:pStyle w:val="Normal"/>
        <w:spacing w:lineRule="auto" w:line="312" w:before="120" w:after="288"/>
        <w:ind w:firstLine="709"/>
        <w:rPr>
          <w:sz w:val="22"/>
          <w:szCs w:val="22"/>
        </w:rPr>
      </w:pPr>
      <w:r>
        <w:rPr>
          <w:rFonts w:cs="Arial" w:ascii="Calibri" w:hAnsi="Calibri"/>
          <w:i/>
          <w:iCs/>
          <w:color w:val="FF0000"/>
          <w:sz w:val="22"/>
          <w:szCs w:val="22"/>
          <w:shd w:fill="auto" w:val="clear"/>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cs="DejaVu Sans" w:eastAsia="DejaVu Sans"/>
          <w:b/>
          <w:bCs/>
          <w:i/>
          <w:iCs/>
          <w:color w:val="000000"/>
          <w:lang w:bidi="en-US" w:eastAsia="en-US" w:val="en-US"/>
        </w:rPr>
        <w:t>Nota Explicativa:</w:t>
      </w:r>
      <w:r>
        <w:rPr>
          <w:rFonts w:ascii="Liberation Serif" w:hAnsi="Liberation Serif" w:cs="DejaVu Sans" w:eastAsia="DejaVu Sans"/>
          <w:i/>
          <w:iCs/>
          <w:color w:val="000000"/>
          <w:lang w:bidi="en-US" w:eastAsia="en-US" w:val="en-US"/>
        </w:rPr>
        <w:t> </w:t>
      </w:r>
      <w:r>
        <w:fldChar w:fldCharType="begin"/>
      </w:r>
      <w:r>
        <w:instrText> HYPERLINK "http://www.planalto.gov.br/ccivil_03/_ato2019-2022/2021/lei/L14133.htm" \l "art25§7"</w:instrText>
      </w:r>
      <w:r>
        <w:fldChar w:fldCharType="separate"/>
      </w:r>
      <w:r>
        <w:rPr>
          <w:rFonts w:ascii="Liberation Serif" w:hAnsi="Liberation Serif" w:cs="DejaVu Sans" w:eastAsia="DejaVu Sans"/>
          <w:i/>
          <w:iCs/>
          <w:color w:val="000000"/>
          <w:lang w:bidi="en-US" w:eastAsia="en-US" w:val="en-US"/>
        </w:rPr>
        <w:t>A Lei n.º 14.133, de 2021 em seu artigo 25, §7º</w:t>
      </w:r>
      <w:r>
        <w:fldChar w:fldCharType="end"/>
      </w:r>
      <w:r>
        <w:rPr>
          <w:rFonts w:ascii="Liberation Serif" w:hAnsi="Liberation Serif" w:cs="DejaVu Sans" w:eastAsia="DejaVu Sans"/>
          <w:i/>
          <w:iCs/>
          <w:color w:val="000000"/>
          <w:lang w:bidi="en-US" w:eastAsia="en-US" w:val="en-US"/>
        </w:rPr>
        <w:t xml:space="preserve"> fixou a necessidade da estipulação no contrato, </w:t>
      </w:r>
      <w:r>
        <w:rPr>
          <w:rFonts w:ascii="Liberation Serif" w:hAnsi="Liberation Serif" w:cs="DejaVu Sans" w:eastAsia="DejaVu Sans"/>
          <w:b/>
          <w:bCs/>
          <w:i/>
          <w:iCs/>
          <w:color w:val="000000"/>
          <w:lang w:bidi="en-US" w:eastAsia="en-US" w:val="en-US"/>
        </w:rPr>
        <w:t>independente do prazo de sua duração</w:t>
      </w:r>
      <w:r>
        <w:rPr>
          <w:rFonts w:ascii="Liberation Serif" w:hAnsi="Liberation Serif" w:cs="DejaVu Sans" w:eastAsia="DejaVu Sans"/>
          <w:i/>
          <w:iCs/>
          <w:color w:val="000000"/>
          <w:lang w:bidi="en-US" w:eastAsia="en-US" w:val="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 xml:space="preserve">A </w:t>
      </w:r>
      <w:hyperlink r:id="rId1">
        <w:r>
          <w:rPr>
            <w:rFonts w:ascii="Liberation Serif" w:hAnsi="Liberation Serif" w:eastAsia="DejaVu Sans" w:cs="DejaVu Sans"/>
            <w:i/>
            <w:iCs/>
            <w:color w:val="000000"/>
            <w:lang w:val="en-US" w:eastAsia="en-US" w:bidi="en-US"/>
          </w:rPr>
          <w:t>Lei n.º 14.133, de 2021</w:t>
        </w:r>
      </w:hyperlink>
      <w:r>
        <w:rPr>
          <w:rFonts w:ascii="Liberation Serif" w:hAnsi="Liberation Serif" w:eastAsia="DejaVu Sans" w:cs="DejaVu Sans"/>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1" w:author="Autor" w:date="0-00-00T00:00:00Z" w:initials="A">
    <w:p>
      <w:r>
        <w:rPr>
          <w:rFonts w:ascii="Liberation Serif" w:hAnsi="Liberation Serif" w:eastAsia="DejaVu Sans" w:cs="DejaVu Sans"/>
          <w:lang w:val="en-US" w:eastAsia="en-US" w:bidi="en-US"/>
        </w:rPr>
        <w:t xml:space="preserve">Nota explicativa 1: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p>
      <w:r>
        <w:rPr>
          <w:rFonts w:ascii="Liberation Serif" w:hAnsi="Liberation Serif" w:eastAsia="DejaVu Sans" w:cs="DejaVu Sans"/>
          <w:lang w:val="en-US" w:eastAsia="en-US" w:bidi="en-US"/>
        </w:rPr>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HYPERLINK "http://www.planalto.gov.br/ccivil_03/_ato2019-2022/2021/lei/L14133.htm" \l "art25§7"</w:instrText>
      </w:r>
      <w:r>
        <w:fldChar w:fldCharType="separate"/>
      </w:r>
      <w:r>
        <w:rPr>
          <w:rFonts w:ascii="Liberation Serif" w:hAnsi="Liberation Serif" w:eastAsia="DejaVu Sans" w:cs="DejaVu Sans"/>
          <w:i/>
          <w:iCs/>
          <w:color w:val="000000"/>
          <w:lang w:val="en-US" w:eastAsia="en-US" w:bidi="en-US"/>
        </w:rPr>
        <w:t>art. 25, § 7º, da Lei n.º 14.133, de 2021</w:t>
      </w:r>
      <w:r>
        <w:fldChar w:fldCharType="end"/>
      </w:r>
      <w:r>
        <w:rPr>
          <w:rFonts w:ascii="Liberation Serif" w:hAnsi="Liberation Serif" w:eastAsia="DejaVu Sans" w:cs="DejaVu Sans"/>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DejaVu Sans" w:cs="DejaVu Sans"/>
          <w:lang w:val="en-US" w:eastAsia="en-US" w:bidi="en-US"/>
        </w:rPr>
      </w:r>
    </w:p>
  </w:comment>
  <w:comment w:id="3"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No caso de órgãos ou entidades públicas vinculados ao Ministério da Economia, considerada a edição da </w:t>
      </w:r>
      <w:hyperlink r:id="rId2">
        <w:r>
          <w:rPr>
            <w:rFonts w:ascii="Liberation Serif" w:hAnsi="Liberation Serif" w:eastAsia="DejaVu Sans" w:cs="DejaVu Sans"/>
            <w:i/>
            <w:iCs/>
            <w:lang w:val="en-US" w:eastAsia="en-US" w:bidi="en-US"/>
          </w:rPr>
          <w:t>Portaria ME n° 1.144, de 3 de fevereiro de 2021</w:t>
        </w:r>
      </w:hyperlink>
      <w:r>
        <w:rPr>
          <w:rFonts w:ascii="Liberation Serif" w:hAnsi="Liberation Serif" w:eastAsia="DejaVu Sans" w:cs="DejaVu Sans"/>
          <w:i/>
          <w:iCs/>
          <w:lang w:val="en-US" w:eastAsia="en-US" w:bidi="en-U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r>
        <w:fldChar w:fldCharType="begin"/>
      </w:r>
      <w:r>
        <w:instrText> HYPERLINK "http://www.planalto.gov.br/ccivil_03/_ato2019-2022/2021/lei/L14133.htm" \l "art5"</w:instrText>
      </w:r>
      <w:r>
        <w:fldChar w:fldCharType="separate"/>
      </w:r>
      <w:r>
        <w:rPr>
          <w:rFonts w:ascii="Liberation Serif" w:hAnsi="Liberation Serif" w:eastAsia="DejaVu Sans" w:cs="DejaVu Sans"/>
          <w:i/>
          <w:iCs/>
          <w:lang w:val="en-US" w:eastAsia="en-US" w:bidi="en-US"/>
        </w:rPr>
        <w:t>artigo 5°, inciso I, da Portaria ME n° 1.144, de 3 de fevereiro de 2021</w:t>
      </w:r>
      <w:r>
        <w:fldChar w:fldCharType="end"/>
      </w:r>
      <w:r>
        <w:rPr>
          <w:rFonts w:ascii="Liberation Serif" w:hAnsi="Liberation Serif" w:eastAsia="DejaVu Sans" w:cs="DejaVu Sans"/>
          <w:i/>
          <w:iCs/>
          <w:lang w:val="en-US" w:eastAsia="en-US" w:bidi="en-US"/>
        </w:rPr>
        <w:t xml:space="preserve">, atestando ausência de relação familiar ou de parentesco que importe a prática de nepotismo, nos termos do disposto no </w:t>
      </w:r>
      <w:r>
        <w:fldChar w:fldCharType="begin"/>
      </w:r>
      <w:r>
        <w:instrText> HYPERLINK "http://www.planalto.gov.br/ccivil_03/_ato2019-2022/2021/lei/L14133.htm" \l "art2"</w:instrText>
      </w:r>
      <w:r>
        <w:fldChar w:fldCharType="separate"/>
      </w:r>
      <w:r>
        <w:rPr>
          <w:rFonts w:ascii="Liberation Serif" w:hAnsi="Liberation Serif" w:eastAsia="DejaVu Sans" w:cs="DejaVu Sans"/>
          <w:i/>
          <w:iCs/>
          <w:lang w:val="en-US" w:eastAsia="en-US" w:bidi="en-US"/>
        </w:rPr>
        <w:t>inciso II do artigo 2° daquele normativo.”</w:t>
      </w:r>
      <w:r>
        <w:fldChar w:fldCharType="end"/>
      </w:r>
    </w:p>
  </w:comment>
  <w:comment w:id="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5"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eastAsia="DejaVu Sans" w:cs="DejaVu Sans"/>
          <w:i/>
          <w:iCs/>
          <w:color w:val="000000"/>
          <w:lang w:val="en-US" w:eastAsia="en-US" w:bidi="en-US"/>
        </w:rPr>
        <w:t xml:space="preserve">Via de regra, a prestação de serviços de modo geral é hipótese de incidência de tributação municipal (Imposto Sobre Serviços de Qualquer Natureza - ISSQN), conforme lista anexa </w:t>
      </w:r>
      <w:hyperlink r:id="rId3">
        <w:r>
          <w:rPr>
            <w:rFonts w:ascii="Liberation Serif" w:hAnsi="Liberation Serif" w:eastAsia="DejaVu Sans" w:cs="DejaVu Sans"/>
            <w:i/>
            <w:iCs/>
            <w:color w:val="000000"/>
            <w:lang w:val="en-US" w:eastAsia="en-US" w:bidi="en-US"/>
          </w:rPr>
          <w:t>à Lei Complementar nº 116/2003</w:t>
        </w:r>
      </w:hyperlink>
      <w:r>
        <w:rPr>
          <w:rFonts w:ascii="Liberation Serif" w:hAnsi="Liberation Serif" w:eastAsia="DejaVu Sans" w:cs="DejaVu Sans"/>
          <w:i/>
          <w:iCs/>
          <w:color w:val="000000"/>
          <w:lang w:val="en-US" w:eastAsia="en-US" w:bidi="en-US"/>
        </w:rPr>
        <w:t xml:space="preserve">.  </w:t>
      </w:r>
    </w:p>
    <w:p>
      <w:r>
        <w:rPr>
          <w:rFonts w:ascii="Liberation Serif" w:hAnsi="Liberation Serif" w:eastAsia="DejaVu Sans" w:cs="DejaVu Sans"/>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HYPERLINK "https://www.planalto.gov.br/ccivil_03/constituicao/constituicao.htm" \l "art155"</w:instrText>
      </w:r>
      <w:r>
        <w:fldChar w:fldCharType="separate"/>
      </w:r>
      <w:r>
        <w:rPr>
          <w:rFonts w:ascii="Liberation Serif" w:hAnsi="Liberation Serif" w:eastAsia="DejaVu Sans" w:cs="DejaVu Sans"/>
          <w:i/>
          <w:iCs/>
          <w:color w:val="000000"/>
          <w:lang w:val="en-US" w:eastAsia="en-US" w:bidi="en-US"/>
        </w:rPr>
        <w:t>art. 155, II, da CF/88</w:t>
      </w:r>
      <w:r>
        <w:fldChar w:fldCharType="end"/>
      </w:r>
      <w:r>
        <w:rPr>
          <w:rFonts w:ascii="Liberation Serif" w:hAnsi="Liberation Serif" w:eastAsia="DejaVu Sans" w:cs="DejaVu Sans"/>
          <w:i/>
          <w:iCs/>
          <w:color w:val="000000"/>
          <w:lang w:val="en-US" w:eastAsia="en-US" w:bidi="en-US"/>
        </w:rPr>
        <w:t xml:space="preserve">), bem como as exceções expressamente previstas na lista da referida LC 116/2003.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07637484"/>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18</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18</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w:t>
        </w:r>
        <w:r>
          <w:rPr>
            <w:rFonts w:cs="Arial" w:ascii="Arial" w:hAnsi="Arial"/>
            <w:sz w:val="14"/>
            <w:szCs w:val="14"/>
            <w:highlight w:val="yellow"/>
          </w:rPr>
          <w:t>: agosto/2023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rFonts w:ascii="Arial" w:hAnsi="Arial" w:cs="Arial"/>
          </w:rPr>
        </w:pPr>
        <w:r>
          <w:rPr>
            <w:rFonts w:cs="Arial" w:ascii="Arial" w:hAnsi="Arial"/>
            <w:sz w:val="14"/>
            <w:szCs w:val="14"/>
          </w:rPr>
          <w:t xml:space="preserve">Identidade visual pela Secretaria de Gestão e Inovação (versão </w:t>
        </w:r>
        <w:r>
          <w:rPr>
            <w:rFonts w:cs="Arial" w:ascii="Arial" w:hAnsi="Arial"/>
            <w:sz w:val="14"/>
            <w:szCs w:val="14"/>
            <w:highlight w:val="yellow"/>
          </w:rPr>
          <w:t>agosto/2023</w:t>
        </w:r>
        <w:r>
          <w:rPr>
            <w:rFonts w:cs="Arial" w:ascii="Arial" w:hAnsi="Arial"/>
            <w:sz w:val="14"/>
            <w:szCs w:val="14"/>
          </w:rPr>
          <w:t>)</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5112" w:type="dxa"/>
      <w:jc w:val="left"/>
      <w:tblInd w:w="3936" w:type="dxa"/>
      <w:tblCellMar>
        <w:top w:w="0" w:type="dxa"/>
        <w:left w:w="108" w:type="dxa"/>
        <w:bottom w:w="0" w:type="dxa"/>
        <w:right w:w="108" w:type="dxa"/>
      </w:tblCellMar>
      <w:tblLook w:val="06a0" w:noHBand="1" w:noVBand="1" w:firstColumn="1" w:lastRow="0" w:lastColumn="0" w:firstRow="1"/>
    </w:tblPr>
    <w:tblGrid>
      <w:gridCol w:w="9070"/>
      <w:gridCol w:w="3022"/>
      <w:gridCol w:w="3020"/>
    </w:tblGrid>
    <w:tr>
      <w:trPr>
        <w:trHeight w:val="300" w:hRule="atLeast"/>
      </w:trPr>
      <w:tc>
        <w:tcPr>
          <w:tcW w:w="9070" w:type="dxa"/>
          <w:tcBorders/>
        </w:tcPr>
        <w:p>
          <w:pPr>
            <w:pStyle w:val="Cabealho"/>
            <w:widowControl w:val="false"/>
            <w:ind w:left="-115" w:hanging="0"/>
            <w:jc w:val="left"/>
            <w:rPr>
              <w:rFonts w:ascii="Arial" w:hAnsi="Arial" w:cs="Arial"/>
              <w:sz w:val="20"/>
              <w:szCs w:val="20"/>
            </w:rPr>
          </w:pPr>
          <w:r>
            <w:rPr>
              <w:rFonts w:cs="Arial" w:ascii="Arial" w:hAnsi="Arial"/>
              <w:sz w:val="20"/>
              <w:szCs w:val="20"/>
            </w:rPr>
            <w:t xml:space="preserve">TERMO DE CONTRATO ADMINISTRATIVO Nº </w:t>
          </w:r>
          <w:r>
            <w:rPr>
              <w:rFonts w:eastAsia="ＭＳ 明朝" w:cs="Arial" w:ascii="Arial" w:hAnsi="Arial" w:eastAsiaTheme="minorEastAsia"/>
              <w:color w:val="auto"/>
              <w:kern w:val="0"/>
              <w:sz w:val="20"/>
              <w:szCs w:val="20"/>
              <w:lang w:val="pt-BR" w:eastAsia="pt-BR" w:bidi="ar-SA"/>
            </w:rPr>
            <w:t>90097</w:t>
          </w:r>
          <w:r>
            <w:rPr>
              <w:rFonts w:cs="Arial" w:ascii="Arial" w:hAnsi="Arial"/>
              <w:sz w:val="20"/>
              <w:szCs w:val="20"/>
            </w:rPr>
            <w:t>/</w:t>
          </w:r>
          <w:r>
            <w:rPr>
              <w:rFonts w:eastAsia="ＭＳ 明朝" w:cs="Arial" w:ascii="Arial" w:hAnsi="Arial" w:eastAsiaTheme="minorEastAsia"/>
              <w:color w:val="auto"/>
              <w:kern w:val="0"/>
              <w:sz w:val="20"/>
              <w:szCs w:val="20"/>
              <w:lang w:val="pt-BR" w:eastAsia="pt-BR" w:bidi="ar-SA"/>
            </w:rPr>
            <w:t>2024</w:t>
          </w:r>
        </w:p>
        <w:p>
          <w:pPr>
            <w:pStyle w:val="Cabealho"/>
            <w:widowControl w:val="false"/>
            <w:ind w:left="-115" w:hanging="0"/>
            <w:rPr/>
          </w:pPr>
          <w:r>
            <w:rPr/>
          </w:r>
        </w:p>
      </w:tc>
      <w:tc>
        <w:tcPr>
          <w:tcW w:w="3022"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6"/>
    <w:lvlOverride w:ilvl="0">
      <w:startOverride w:val="1"/>
    </w:lvlOverride>
  </w:num>
  <w:num w:numId="146">
    <w:abstractNumId w:val="6"/>
  </w:num>
  <w:num w:numId="147">
    <w:abstractNumId w:val="6"/>
  </w:num>
  <w:num w:numId="148">
    <w:abstractNumId w:val="6"/>
  </w:num>
  <w:num w:numId="149">
    <w:abstractNumId w:val="6"/>
  </w:num>
  <w:num w:numId="150">
    <w:abstractNumId w:val="6"/>
  </w:num>
  <w:num w:numId="151">
    <w:abstractNumId w:val="6"/>
  </w:num>
  <w:num w:numId="152">
    <w:abstractNumId w:val="6"/>
  </w:num>
  <w:num w:numId="153">
    <w:abstractNumId w:val="6"/>
  </w:num>
  <w:num w:numId="154">
    <w:abstractNumId w:val="6"/>
  </w:num>
  <w:num w:numId="155">
    <w:abstractNumId w:val="6"/>
  </w:num>
  <w:num w:numId="156">
    <w:abstractNumId w:val="6"/>
  </w:num>
  <w:num w:numId="157">
    <w:abstractNumId w:val="6"/>
  </w:num>
  <w:num w:numId="158">
    <w:abstractNumId w:val="6"/>
  </w:num>
  <w:num w:numId="159">
    <w:abstractNumId w:val="6"/>
  </w:num>
  <w:num w:numId="160">
    <w:abstractNumId w:val="6"/>
  </w:num>
  <w:num w:numId="161">
    <w:abstractNumId w:val="6"/>
  </w:num>
  <w:num w:numId="162">
    <w:abstractNumId w:val="6"/>
  </w:num>
  <w:num w:numId="163">
    <w:abstractNumId w:val="6"/>
  </w:num>
  <w:num w:numId="164">
    <w:abstractNumId w:val="6"/>
  </w:num>
  <w:num w:numId="165">
    <w:abstractNumId w:val="6"/>
  </w:num>
  <w:num w:numId="166">
    <w:abstractNumId w:val="6"/>
  </w:num>
  <w:num w:numId="167">
    <w:abstractNumId w:val="6"/>
  </w:num>
  <w:num w:numId="168">
    <w:abstractNumId w:val="6"/>
  </w:num>
  <w:num w:numId="169">
    <w:abstractNumId w:val="6"/>
  </w:num>
  <w:num w:numId="170">
    <w:abstractNumId w:val="6"/>
  </w:num>
  <w:num w:numId="171">
    <w:abstractNumId w:val="6"/>
  </w:num>
  <w:num w:numId="172">
    <w:abstractNumId w:val="6"/>
  </w:num>
  <w:num w:numId="173">
    <w:abstractNumId w:val="6"/>
  </w:num>
  <w:num w:numId="174">
    <w:abstractNumId w:val="6"/>
  </w:num>
  <w:num w:numId="175">
    <w:abstractNumId w:val="6"/>
  </w:num>
  <w:num w:numId="176">
    <w:abstractNumId w:val="6"/>
  </w:num>
  <w:num w:numId="177">
    <w:abstractNumId w:val="6"/>
  </w:num>
  <w:num w:numId="178">
    <w:abstractNumId w:val="6"/>
  </w:num>
  <w:num w:numId="179">
    <w:abstractNumId w:val="6"/>
  </w:num>
  <w:num w:numId="180">
    <w:abstractNumId w:val="6"/>
  </w:num>
  <w:num w:numId="181">
    <w:abstractNumId w:val="6"/>
  </w:num>
  <w:num w:numId="182">
    <w:abstractNumId w:val="6"/>
  </w:num>
  <w:num w:numId="183">
    <w:abstractNumId w:val="6"/>
  </w:num>
  <w:num w:numId="184">
    <w:abstractNumId w:val="6"/>
  </w:num>
  <w:num w:numId="185">
    <w:abstractNumId w:val="6"/>
  </w:num>
  <w:num w:numId="186">
    <w:abstractNumId w:val="6"/>
  </w:num>
  <w:num w:numId="187">
    <w:abstractNumId w:val="6"/>
  </w:num>
  <w:num w:numId="188">
    <w:abstractNumId w:val="6"/>
  </w:num>
  <w:num w:numId="189">
    <w:abstractNumId w:val="6"/>
  </w:num>
  <w:num w:numId="190">
    <w:abstractNumId w:val="6"/>
  </w:num>
  <w:num w:numId="191">
    <w:abstractNumId w:val="6"/>
  </w:num>
  <w:num w:numId="192">
    <w:abstractNumId w:val="6"/>
  </w:num>
  <w:num w:numId="193">
    <w:abstractNumId w:val="6"/>
  </w:num>
  <w:num w:numId="194">
    <w:abstractNumId w:val="6"/>
  </w:num>
  <w:num w:numId="195">
    <w:abstractNumId w:val="6"/>
  </w:num>
  <w:num w:numId="196">
    <w:abstractNumId w:val="6"/>
  </w:num>
  <w:num w:numId="197">
    <w:abstractNumId w:val="6"/>
  </w:num>
  <w:num w:numId="198">
    <w:abstractNumId w:val="6"/>
  </w:num>
  <w:num w:numId="199">
    <w:abstractNumId w:val="6"/>
  </w:num>
  <w:num w:numId="200">
    <w:abstractNumId w:val="6"/>
  </w:num>
  <w:num w:numId="201">
    <w:abstractNumId w:val="6"/>
  </w:num>
  <w:num w:numId="202">
    <w:abstractNumId w:val="6"/>
  </w:num>
  <w:num w:numId="203">
    <w:abstractNumId w:val="6"/>
  </w:num>
  <w:num w:numId="204">
    <w:abstractNumId w:val="6"/>
  </w:num>
  <w:num w:numId="205">
    <w:abstractNumId w:val="6"/>
  </w:num>
  <w:num w:numId="206">
    <w:abstractNumId w:val="6"/>
  </w:num>
  <w:num w:numId="207">
    <w:abstractNumId w:val="6"/>
  </w:num>
  <w:num w:numId="208">
    <w:abstractNumId w:val="6"/>
  </w:num>
  <w:num w:numId="209">
    <w:abstractNumId w:val="6"/>
  </w:num>
  <w:num w:numId="210">
    <w:abstractNumId w:val="6"/>
  </w:num>
  <w:num w:numId="211">
    <w:abstractNumId w:val="6"/>
  </w:num>
  <w:num w:numId="212">
    <w:abstractNumId w:val="6"/>
  </w:num>
  <w:num w:numId="213">
    <w:abstractNumId w:val="6"/>
  </w:num>
  <w:num w:numId="214">
    <w:abstractNumId w:val="6"/>
  </w:num>
  <w:num w:numId="215">
    <w:abstractNumId w:val="6"/>
  </w:num>
  <w:num w:numId="216">
    <w:abstractNumId w:val="6"/>
  </w:num>
  <w:num w:numId="217">
    <w:abstractNumId w:val="6"/>
  </w:num>
  <w:num w:numId="218">
    <w:abstractNumId w:val="6"/>
  </w:num>
  <w:num w:numId="219">
    <w:abstractNumId w:val="6"/>
  </w:num>
  <w:num w:numId="220">
    <w:abstractNumId w:val="6"/>
  </w:num>
  <w:num w:numId="221">
    <w:abstractNumId w:val="6"/>
  </w:num>
  <w:num w:numId="222">
    <w:abstractNumId w:val="6"/>
  </w:num>
  <w:num w:numId="223">
    <w:abstractNumId w:val="6"/>
  </w:num>
  <w:num w:numId="224">
    <w:abstractNumId w:val="6"/>
  </w:num>
  <w:num w:numId="225">
    <w:abstractNumId w:val="6"/>
  </w:num>
  <w:num w:numId="226">
    <w:abstractNumId w:val="6"/>
  </w:num>
  <w:num w:numId="227">
    <w:abstractNumId w:val="6"/>
  </w:num>
  <w:num w:numId="228">
    <w:abstractNumId w:val="6"/>
  </w:num>
  <w:num w:numId="229">
    <w:abstractNumId w:val="6"/>
  </w:num>
  <w:num w:numId="230">
    <w:abstractNumId w:val="6"/>
  </w:num>
  <w:num w:numId="231">
    <w:abstractNumId w:val="6"/>
  </w:num>
  <w:num w:numId="232">
    <w:abstractNumId w:val="6"/>
  </w:num>
  <w:num w:numId="233">
    <w:abstractNumId w:val="6"/>
  </w:num>
  <w:num w:numId="234">
    <w:abstractNumId w:val="6"/>
  </w:num>
  <w:num w:numId="235">
    <w:abstractNumId w:val="6"/>
  </w:num>
  <w:num w:numId="236">
    <w:abstractNumId w:val="6"/>
  </w:num>
  <w:num w:numId="237">
    <w:abstractNumId w:val="6"/>
  </w:num>
  <w:num w:numId="238">
    <w:abstractNumId w:val="6"/>
  </w:num>
  <w:num w:numId="239">
    <w:abstractNumId w:val="6"/>
  </w:num>
  <w:num w:numId="240">
    <w:abstractNumId w:val="6"/>
  </w:num>
  <w:num w:numId="241">
    <w:abstractNumId w:val="6"/>
  </w:num>
  <w:num w:numId="242">
    <w:abstractNumId w:val="6"/>
  </w:num>
  <w:num w:numId="243">
    <w:abstractNumId w:val="6"/>
  </w:num>
  <w:num w:numId="244">
    <w:abstractNumId w:val="6"/>
  </w:num>
  <w:num w:numId="245">
    <w:abstractNumId w:val="6"/>
  </w:num>
  <w:num w:numId="246">
    <w:abstractNumId w:val="6"/>
  </w:num>
  <w:num w:numId="247">
    <w:abstractNumId w:val="6"/>
  </w:num>
  <w:num w:numId="248">
    <w:abstractNumId w:val="6"/>
  </w:num>
  <w:num w:numId="249">
    <w:abstractNumId w:val="6"/>
  </w:num>
  <w:num w:numId="250">
    <w:abstractNumId w:val="6"/>
  </w:num>
  <w:num w:numId="251">
    <w:abstractNumId w:val="6"/>
  </w:num>
  <w:num w:numId="252">
    <w:abstractNumId w:val="6"/>
  </w:num>
  <w:num w:numId="253">
    <w:abstractNumId w:val="6"/>
  </w:num>
  <w:num w:numId="254">
    <w:abstractNumId w:val="6"/>
  </w:num>
  <w:num w:numId="255">
    <w:abstractNumId w:val="6"/>
  </w:num>
  <w:num w:numId="256">
    <w:abstractNumId w:val="6"/>
  </w:num>
  <w:num w:numId="257">
    <w:abstractNumId w:val="6"/>
  </w:num>
  <w:num w:numId="258">
    <w:abstractNumId w:val="6"/>
  </w:num>
  <w:num w:numId="259">
    <w:abstractNumId w:val="6"/>
  </w:num>
  <w:num w:numId="260">
    <w:abstractNumId w:val="6"/>
  </w:num>
  <w:num w:numId="261">
    <w:abstractNumId w:val="6"/>
  </w:num>
  <w:num w:numId="262">
    <w:abstractNumId w:val="6"/>
  </w:num>
  <w:num w:numId="263">
    <w:abstractNumId w:val="6"/>
  </w:num>
  <w:num w:numId="264">
    <w:abstractNumId w:val="6"/>
  </w:num>
  <w:num w:numId="265">
    <w:abstractNumId w:val="6"/>
  </w:num>
  <w:num w:numId="266">
    <w:abstractNumId w:val="6"/>
  </w:num>
  <w:num w:numId="267">
    <w:abstractNumId w:val="6"/>
  </w:num>
  <w:num w:numId="268">
    <w:abstractNumId w:val="6"/>
  </w:num>
  <w:num w:numId="269">
    <w:abstractNumId w:val="6"/>
  </w:num>
  <w:num w:numId="270">
    <w:abstractNumId w:val="6"/>
  </w:num>
  <w:num w:numId="271">
    <w:abstractNumId w:val="6"/>
  </w:num>
  <w:num w:numId="272">
    <w:abstractNumId w:val="6"/>
  </w:num>
  <w:num w:numId="273">
    <w:abstractNumId w:val="6"/>
  </w:num>
  <w:num w:numId="274">
    <w:abstractNumId w:val="6"/>
  </w:num>
  <w:num w:numId="275">
    <w:abstractNumId w:val="6"/>
  </w:num>
  <w:num w:numId="276">
    <w:abstractNumId w:val="6"/>
  </w:num>
  <w:num w:numId="277">
    <w:abstractNumId w:val="6"/>
  </w:num>
  <w:num w:numId="278">
    <w:abstractNumId w:val="6"/>
  </w:num>
  <w:num w:numId="279">
    <w:abstractNumId w:val="6"/>
  </w:num>
  <w:num w:numId="280">
    <w:abstractNumId w:val="6"/>
  </w:num>
  <w:num w:numId="281">
    <w:abstractNumId w:val="6"/>
  </w:num>
  <w:num w:numId="282">
    <w:abstractNumId w:val="6"/>
  </w:num>
</w:numbering>
</file>

<file path=word/settings.xml><?xml version="1.0" encoding="utf-8"?>
<w:settings xmlns:w="http://schemas.openxmlformats.org/wordprocessingml/2006/main">
  <w:zoom w:percent="100"/>
  <w:mirrorMargins/>
  <w:defaultTabStop w:val="347"/>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34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qFormat/>
    <w:rsid w:val="00d42afb"/>
    <w:rPr>
      <w:rFonts w:ascii="Arial" w:hAnsi="Arial" w:cs="Arial"/>
      <w:i/>
      <w:iCs/>
      <w:color w:val="FF0000"/>
      <w:lang w:eastAsia="pt-BR"/>
    </w:rPr>
  </w:style>
  <w:style w:type="character" w:styleId="Nvel4RChar" w:customStyle="1">
    <w:name w:val="Nível 4-R Char"/>
    <w:basedOn w:val="Nivel4Char"/>
    <w:qFormat/>
    <w:rsid w:val="00031dbe"/>
    <w:rPr>
      <w:rFonts w:ascii="Arial" w:hAnsi="Arial" w:cs="Arial"/>
      <w:i/>
      <w:iCs/>
      <w:color w:val="FF0000"/>
      <w:lang w:eastAsia="pt-BR"/>
    </w:rPr>
  </w:style>
  <w:style w:type="character" w:styleId="Nvel1SemNumChar" w:customStyle="1">
    <w:name w:val="Nível 1-Sem Num Char"/>
    <w:basedOn w:val="Nivel01Char"/>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MenoPendente6" w:customStyle="1">
    <w:name w:val="Menção Pendente6"/>
    <w:basedOn w:val="DefaultParagraphFont"/>
    <w:uiPriority w:val="99"/>
    <w:semiHidden/>
    <w:unhideWhenUsed/>
    <w:qFormat/>
    <w:rsid w:val="00f40730"/>
    <w:rPr>
      <w:color w:val="605E5C"/>
      <w:shd w:fill="E1DFDD" w:val="clear"/>
    </w:rPr>
  </w:style>
  <w:style w:type="character" w:styleId="UnresolvedMention">
    <w:name w:val="Unresolved Mention"/>
    <w:basedOn w:val="DefaultParagraphFont"/>
    <w:uiPriority w:val="99"/>
    <w:semiHidden/>
    <w:unhideWhenUsed/>
    <w:qFormat/>
    <w:rsid w:val="0023483b"/>
    <w:rPr>
      <w:color w:val="605E5C"/>
      <w:shd w:fill="E1DFDD" w:val="clear"/>
    </w:rPr>
  </w:style>
  <w:style w:type="character" w:styleId="Fontepargpadro">
    <w:name w:val="Fonte parág. padr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347"/>
        <w:tab w:val="center" w:pos="4252" w:leader="none"/>
        <w:tab w:val="right" w:pos="8504" w:leader="none"/>
      </w:tabs>
    </w:pPr>
    <w:rPr/>
  </w:style>
  <w:style w:type="paragraph" w:styleId="Rodap">
    <w:name w:val="Footer"/>
    <w:basedOn w:val="Normal"/>
    <w:link w:val="RodapChar"/>
    <w:uiPriority w:val="99"/>
    <w:rsid w:val="00ca24fb"/>
    <w:pPr>
      <w:tabs>
        <w:tab w:val="clear" w:pos="347"/>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tabs>
        <w:tab w:val="clear" w:pos="347"/>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7b1e53"/>
    <w:pPr>
      <w:spacing w:lineRule="auto" w:line="276" w:before="120" w:after="120"/>
      <w:ind w:left="3198" w:hanging="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d42afb"/>
    <w:pPr/>
    <w:rPr>
      <w:i/>
      <w:iCs/>
      <w:color w:val="FF0000"/>
    </w:rPr>
  </w:style>
  <w:style w:type="paragraph" w:styleId="Nvel4R" w:customStyle="1">
    <w:name w:val="Nível 4-R"/>
    <w:basedOn w:val="Nivel4"/>
    <w:qFormat/>
    <w:rsid w:val="00031dbe"/>
    <w:pPr>
      <w:ind w:left="2491" w:hanging="648"/>
    </w:pPr>
    <w:rPr>
      <w:i/>
      <w:iCs/>
      <w:color w:val="FF0000"/>
    </w:rPr>
  </w:style>
  <w:style w:type="paragraph" w:styleId="Nvel1SemNum" w:customStyle="1">
    <w:name w:val="Nível 1-Sem Num"/>
    <w:basedOn w:val="Nivel01"/>
    <w:qFormat/>
    <w:rsid w:val="00e7273b"/>
    <w:pPr>
      <w:ind w:left="357" w:hanging="0"/>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www.planalto.gov.br/ccivil_03/_ato2019-2022/2021/lei/L14133.htm" TargetMode="External"/><Relationship Id="rId2" Type="http://schemas.openxmlformats.org/officeDocument/2006/relationships/hyperlink" Target="https://www.in.gov.br/en/web/dou/-/portaria-me-n-1.144-de-3-de-fevereiro-de-2021-302550048" TargetMode="External"/><Relationship Id="rId3" Type="http://schemas.openxmlformats.org/officeDocument/2006/relationships/hyperlink" Target="http://www.planalto.gov.br/ccivil_03/leis/lcp/lcp116.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2.xml><?xml version="1.0" encoding="utf-8"?>
<ds:datastoreItem xmlns:ds="http://schemas.openxmlformats.org/officeDocument/2006/customXml" ds:itemID="{C753AD5F-AB9D-4E4B-9366-6ED38997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06362F-2BE9-4CC3-B1AC-A5CFD37F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Application>LibreOffice/6.4.7.2$Linux_X86_64 LibreOffice_project/40$Build-2</Application>
  <Pages>18</Pages>
  <Words>4997</Words>
  <Characters>27948</Characters>
  <CharactersWithSpaces>32629</CharactersWithSpaces>
  <Paragraphs>201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2023-04-27T19:30:00Z</dcterms:created>
  <dc:creator/>
  <dc:description/>
  <dc:language>pt-BR</dc:language>
  <cp:lastModifiedBy/>
  <dcterms:modified xsi:type="dcterms:W3CDTF">2024-08-08T13:34:48Z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HyperlinksChanged">
    <vt:bool>0</vt:bool>
  </property>
  <property fmtid="{D5CDD505-2E9C-101B-9397-08002B2CF9AE}" pid="5" name="LinksUpToDate">
    <vt:bool>0</vt:bool>
  </property>
  <property fmtid="{D5CDD505-2E9C-101B-9397-08002B2CF9AE}" pid="6" name="MediaServiceImageTags">
    <vt:lpwstr/>
  </property>
  <property fmtid="{D5CDD505-2E9C-101B-9397-08002B2CF9AE}" pid="7" name="ScaleCrop">
    <vt:bool>0</vt:bool>
  </property>
  <property fmtid="{D5CDD505-2E9C-101B-9397-08002B2CF9AE}" pid="8" name="ShareDoc">
    <vt:bool>0</vt:bool>
  </property>
</Properties>
</file>